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680FC47" w14:textId="4FF0DB3F" w:rsidR="00D55393" w:rsidRDefault="007763A8" w:rsidP="008355AB">
      <w:pPr>
        <w:pStyle w:val="Default"/>
        <w:spacing w:after="25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Bloomberg</w:t>
      </w:r>
      <w:r w:rsidR="000F2C71">
        <w:rPr>
          <w:rFonts w:ascii="Calibri" w:hAnsi="Calibri"/>
          <w:sz w:val="40"/>
          <w:szCs w:val="40"/>
        </w:rPr>
        <w:t xml:space="preserve"> UX &amp; Conversion Analysis for iQuanti</w:t>
      </w:r>
    </w:p>
    <w:p w14:paraId="2D5B1480" w14:textId="0A82C3DC" w:rsidR="00D55393" w:rsidRPr="00045586" w:rsidRDefault="000F2C71" w:rsidP="008355AB">
      <w:pPr>
        <w:pStyle w:val="Default"/>
        <w:spacing w:after="25"/>
        <w:jc w:val="center"/>
        <w:rPr>
          <w:rFonts w:ascii="Calibri" w:eastAsia="Calibri" w:hAnsi="Calibri" w:cs="Calibri"/>
          <w:i/>
          <w:sz w:val="20"/>
          <w:szCs w:val="20"/>
        </w:rPr>
      </w:pPr>
      <w:r w:rsidRPr="00045586">
        <w:rPr>
          <w:rFonts w:ascii="Calibri" w:hAnsi="Calibri"/>
          <w:i/>
          <w:sz w:val="20"/>
          <w:szCs w:val="20"/>
        </w:rPr>
        <w:t>submitted by Susan Stuart, October 2</w:t>
      </w:r>
      <w:r w:rsidR="00ED78F5">
        <w:rPr>
          <w:rFonts w:ascii="Calibri" w:hAnsi="Calibri"/>
          <w:i/>
          <w:sz w:val="20"/>
          <w:szCs w:val="20"/>
        </w:rPr>
        <w:t>3</w:t>
      </w:r>
      <w:r w:rsidRPr="00045586">
        <w:rPr>
          <w:rFonts w:ascii="Calibri" w:hAnsi="Calibri"/>
          <w:i/>
          <w:sz w:val="20"/>
          <w:szCs w:val="20"/>
        </w:rPr>
        <w:t>, 2018</w:t>
      </w:r>
    </w:p>
    <w:p w14:paraId="1A2E2AC6" w14:textId="77777777" w:rsidR="00D55393" w:rsidRDefault="00D55393" w:rsidP="008355AB">
      <w:pPr>
        <w:pStyle w:val="Default"/>
        <w:rPr>
          <w:rFonts w:ascii="Calibri" w:eastAsia="Calibri" w:hAnsi="Calibri" w:cs="Calibri"/>
          <w:color w:val="12BF0D"/>
          <w:sz w:val="29"/>
          <w:szCs w:val="29"/>
        </w:rPr>
      </w:pPr>
    </w:p>
    <w:p w14:paraId="3D7D0717" w14:textId="77777777" w:rsidR="006F6987" w:rsidRDefault="006F6987" w:rsidP="008355AB">
      <w:pPr>
        <w:pStyle w:val="Default"/>
        <w:rPr>
          <w:rFonts w:ascii="Calibri" w:eastAsia="Calibri" w:hAnsi="Calibri" w:cs="Calibri"/>
          <w:color w:val="12BF0D"/>
          <w:sz w:val="29"/>
          <w:szCs w:val="29"/>
        </w:rPr>
      </w:pPr>
    </w:p>
    <w:p w14:paraId="5D82061C" w14:textId="77777777" w:rsidR="00F51F6A" w:rsidRDefault="00F51F6A" w:rsidP="008355AB">
      <w:pPr>
        <w:pStyle w:val="Default"/>
        <w:rPr>
          <w:rFonts w:ascii="Calibri" w:eastAsia="Calibri" w:hAnsi="Calibri" w:cs="Calibri"/>
          <w:color w:val="12BF0D"/>
          <w:sz w:val="29"/>
          <w:szCs w:val="29"/>
        </w:rPr>
      </w:pPr>
    </w:p>
    <w:p w14:paraId="57F9627D" w14:textId="77777777" w:rsidR="00E233B1" w:rsidRDefault="00E233B1" w:rsidP="004C35B9">
      <w:pPr>
        <w:pStyle w:val="Heading1"/>
        <w:rPr>
          <w:rFonts w:eastAsia="Calibri" w:cs="Calibri"/>
        </w:rPr>
      </w:pPr>
      <w:r>
        <w:t xml:space="preserve">Background </w:t>
      </w:r>
    </w:p>
    <w:p w14:paraId="154436BF" w14:textId="77777777" w:rsidR="00E233B1" w:rsidRDefault="00E233B1" w:rsidP="008355AB">
      <w:pPr>
        <w:pStyle w:val="Default"/>
        <w:rPr>
          <w:rFonts w:ascii="Calibri" w:eastAsia="Calibri" w:hAnsi="Calibri" w:cs="Calibri"/>
          <w:color w:val="0432FF"/>
          <w:sz w:val="29"/>
          <w:szCs w:val="29"/>
        </w:rPr>
      </w:pPr>
    </w:p>
    <w:p w14:paraId="76836408" w14:textId="38914275" w:rsidR="000B5033" w:rsidRDefault="005B03B9" w:rsidP="008355AB">
      <w:pPr>
        <w:pStyle w:val="Default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This UX </w:t>
      </w:r>
      <w:r w:rsidR="0027119E">
        <w:rPr>
          <w:rFonts w:ascii="Calibri" w:hAnsi="Calibri"/>
        </w:rPr>
        <w:t>analysis</w:t>
      </w:r>
      <w:r>
        <w:rPr>
          <w:rFonts w:ascii="Calibri" w:hAnsi="Calibri"/>
        </w:rPr>
        <w:t xml:space="preserve"> focuses on </w:t>
      </w:r>
      <w:r w:rsidR="004854CB">
        <w:rPr>
          <w:rFonts w:ascii="Calibri" w:hAnsi="Calibri"/>
        </w:rPr>
        <w:t>how the</w:t>
      </w:r>
      <w:r>
        <w:rPr>
          <w:rFonts w:ascii="Calibri" w:hAnsi="Calibri"/>
        </w:rPr>
        <w:t xml:space="preserve"> subscription experience for </w:t>
      </w:r>
      <w:r w:rsidRPr="00603165">
        <w:rPr>
          <w:rFonts w:ascii="Calibri" w:hAnsi="Calibri"/>
          <w:i/>
        </w:rPr>
        <w:t>Bloomberg.com</w:t>
      </w:r>
      <w:r w:rsidR="004854CB">
        <w:rPr>
          <w:rFonts w:ascii="Calibri" w:hAnsi="Calibri"/>
        </w:rPr>
        <w:t xml:space="preserve"> could be improved</w:t>
      </w:r>
      <w:r>
        <w:rPr>
          <w:rFonts w:ascii="Calibri" w:hAnsi="Calibri"/>
        </w:rPr>
        <w:t xml:space="preserve">, </w:t>
      </w:r>
      <w:r w:rsidR="004854CB">
        <w:rPr>
          <w:rFonts w:ascii="Calibri" w:hAnsi="Calibri"/>
        </w:rPr>
        <w:t>by examining</w:t>
      </w:r>
      <w:r>
        <w:rPr>
          <w:rFonts w:ascii="Calibri" w:hAnsi="Calibri"/>
        </w:rPr>
        <w:t xml:space="preserve"> user pathing, marketing information and pricing strategies, and competitive </w:t>
      </w:r>
      <w:r w:rsidR="00D8192A">
        <w:rPr>
          <w:rFonts w:ascii="Calibri" w:hAnsi="Calibri"/>
        </w:rPr>
        <w:t>strategies</w:t>
      </w:r>
      <w:r>
        <w:rPr>
          <w:rFonts w:ascii="Calibri" w:hAnsi="Calibri"/>
        </w:rPr>
        <w:t xml:space="preserve">. </w:t>
      </w:r>
    </w:p>
    <w:p w14:paraId="318A545F" w14:textId="77777777" w:rsidR="000B5033" w:rsidRDefault="000B5033" w:rsidP="008355AB">
      <w:pPr>
        <w:pStyle w:val="Default"/>
        <w:rPr>
          <w:rFonts w:ascii="Calibri" w:eastAsia="Calibri" w:hAnsi="Calibri" w:cs="Calibri"/>
        </w:rPr>
      </w:pPr>
    </w:p>
    <w:p w14:paraId="22D38333" w14:textId="34F9BF1E" w:rsidR="000B5033" w:rsidRDefault="000B5033" w:rsidP="008355AB">
      <w:pPr>
        <w:pStyle w:val="Defaul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Analytics have indicated that </w:t>
      </w:r>
      <w:r w:rsidR="00365269">
        <w:rPr>
          <w:rFonts w:ascii="Calibri" w:eastAsia="Calibri" w:hAnsi="Calibri" w:cs="Calibri"/>
        </w:rPr>
        <w:t>a key page</w:t>
      </w:r>
      <w:r>
        <w:rPr>
          <w:rFonts w:ascii="Calibri" w:eastAsia="Calibri" w:hAnsi="Calibri" w:cs="Calibri"/>
        </w:rPr>
        <w:t xml:space="preserve"> of </w:t>
      </w:r>
      <w:r w:rsidRPr="00603165">
        <w:rPr>
          <w:rFonts w:ascii="Calibri" w:eastAsia="Calibri" w:hAnsi="Calibri" w:cs="Calibri"/>
          <w:i/>
        </w:rPr>
        <w:t>Bloomberg’s</w:t>
      </w:r>
      <w:r w:rsidR="00977449">
        <w:rPr>
          <w:rFonts w:ascii="Calibri" w:eastAsia="Calibri" w:hAnsi="Calibri" w:cs="Calibri"/>
        </w:rPr>
        <w:t xml:space="preserve"> subscription path </w:t>
      </w:r>
      <w:r w:rsidR="00365269">
        <w:rPr>
          <w:rFonts w:ascii="Calibri" w:eastAsia="Calibri" w:hAnsi="Calibri" w:cs="Calibri"/>
        </w:rPr>
        <w:t>is</w:t>
      </w:r>
      <w:r w:rsidR="00977449">
        <w:rPr>
          <w:rFonts w:ascii="Calibri" w:eastAsia="Calibri" w:hAnsi="Calibri" w:cs="Calibri"/>
        </w:rPr>
        <w:t xml:space="preserve"> hardly being </w:t>
      </w:r>
      <w:r w:rsidR="0051629D">
        <w:rPr>
          <w:rFonts w:ascii="Calibri" w:eastAsia="Calibri" w:hAnsi="Calibri" w:cs="Calibri"/>
        </w:rPr>
        <w:t>viewed</w:t>
      </w:r>
      <w:r w:rsidR="00977449">
        <w:rPr>
          <w:rFonts w:ascii="Calibri" w:eastAsia="Calibri" w:hAnsi="Calibri" w:cs="Calibri"/>
        </w:rPr>
        <w:t xml:space="preserve"> at</w:t>
      </w:r>
      <w:r w:rsidR="0051629D">
        <w:rPr>
          <w:rFonts w:ascii="Calibri" w:eastAsia="Calibri" w:hAnsi="Calibri" w:cs="Calibri"/>
        </w:rPr>
        <w:t xml:space="preserve"> all</w:t>
      </w:r>
      <w:r w:rsidR="00977449">
        <w:rPr>
          <w:rFonts w:ascii="Calibri" w:eastAsia="Calibri" w:hAnsi="Calibri" w:cs="Calibri"/>
        </w:rPr>
        <w:t xml:space="preserve">, </w:t>
      </w:r>
      <w:r w:rsidR="00365269">
        <w:rPr>
          <w:rFonts w:ascii="Calibri" w:eastAsia="Calibri" w:hAnsi="Calibri" w:cs="Calibri"/>
        </w:rPr>
        <w:t>—</w:t>
      </w:r>
      <w:r w:rsidR="00977449">
        <w:rPr>
          <w:rFonts w:ascii="Calibri" w:eastAsia="Calibri" w:hAnsi="Calibri" w:cs="Calibri"/>
        </w:rPr>
        <w:t>the What You Get page</w:t>
      </w:r>
      <w:r w:rsidR="00365269">
        <w:rPr>
          <w:rFonts w:ascii="Calibri" w:eastAsia="Calibri" w:hAnsi="Calibri" w:cs="Calibri"/>
        </w:rPr>
        <w:t>—</w:t>
      </w:r>
      <w:r w:rsidR="0051629D">
        <w:rPr>
          <w:rFonts w:ascii="Calibri" w:eastAsia="Calibri" w:hAnsi="Calibri" w:cs="Calibri"/>
        </w:rPr>
        <w:t>making</w:t>
      </w:r>
      <w:r w:rsidR="00977449">
        <w:rPr>
          <w:rFonts w:ascii="Calibri" w:eastAsia="Calibri" w:hAnsi="Calibri" w:cs="Calibri"/>
        </w:rPr>
        <w:t xml:space="preserve"> it</w:t>
      </w:r>
      <w:r w:rsidR="0051629D">
        <w:rPr>
          <w:rFonts w:ascii="Calibri" w:eastAsia="Calibri" w:hAnsi="Calibri" w:cs="Calibri"/>
        </w:rPr>
        <w:t xml:space="preserve"> clear that the</w:t>
      </w:r>
      <w:r w:rsidR="00977449">
        <w:rPr>
          <w:rFonts w:ascii="Calibri" w:eastAsia="Calibri" w:hAnsi="Calibri" w:cs="Calibri"/>
        </w:rPr>
        <w:t xml:space="preserve"> current design </w:t>
      </w:r>
      <w:r w:rsidR="00917211">
        <w:rPr>
          <w:rFonts w:ascii="Calibri" w:eastAsia="Calibri" w:hAnsi="Calibri" w:cs="Calibri"/>
        </w:rPr>
        <w:t xml:space="preserve">has not </w:t>
      </w:r>
      <w:r w:rsidR="00365269">
        <w:rPr>
          <w:rFonts w:ascii="Calibri" w:eastAsia="Calibri" w:hAnsi="Calibri" w:cs="Calibri"/>
        </w:rPr>
        <w:t>achieved as robust a pitch for subscription as intended</w:t>
      </w:r>
      <w:r w:rsidR="0013592C">
        <w:rPr>
          <w:rFonts w:ascii="Calibri" w:eastAsia="Calibri" w:hAnsi="Calibri" w:cs="Calibri"/>
        </w:rPr>
        <w:t xml:space="preserve">. </w:t>
      </w:r>
    </w:p>
    <w:p w14:paraId="130C641D" w14:textId="77777777" w:rsidR="00532682" w:rsidRDefault="00532682" w:rsidP="008355AB">
      <w:pPr>
        <w:pStyle w:val="Default"/>
        <w:rPr>
          <w:rFonts w:ascii="Calibri" w:eastAsia="Calibri" w:hAnsi="Calibri" w:cs="Calibri"/>
        </w:rPr>
      </w:pPr>
    </w:p>
    <w:p w14:paraId="5D695FA3" w14:textId="77777777" w:rsidR="00532682" w:rsidRDefault="00532682" w:rsidP="008355AB">
      <w:pPr>
        <w:pStyle w:val="Default"/>
        <w:rPr>
          <w:rFonts w:ascii="Calibri" w:eastAsia="Calibri" w:hAnsi="Calibri" w:cs="Calibri"/>
        </w:rPr>
      </w:pPr>
    </w:p>
    <w:p w14:paraId="2D4CF67C" w14:textId="209BC61F" w:rsidR="0013592C" w:rsidRPr="008355AB" w:rsidRDefault="00236EE0" w:rsidP="004C35B9">
      <w:pPr>
        <w:pStyle w:val="Heading1"/>
        <w:rPr>
          <w:rFonts w:eastAsia="Calibri"/>
        </w:rPr>
      </w:pPr>
      <w:r w:rsidRPr="008355AB">
        <w:rPr>
          <w:rFonts w:eastAsia="Calibri"/>
        </w:rPr>
        <w:t>Touchpoint</w:t>
      </w:r>
      <w:r w:rsidR="008355AB" w:rsidRPr="008355AB">
        <w:rPr>
          <w:rFonts w:eastAsia="Calibri"/>
        </w:rPr>
        <w:t>s</w:t>
      </w:r>
      <w:r w:rsidRPr="008355AB">
        <w:rPr>
          <w:rFonts w:eastAsia="Calibri"/>
        </w:rPr>
        <w:t xml:space="preserve"> with the Offer</w:t>
      </w:r>
    </w:p>
    <w:p w14:paraId="112CB5AB" w14:textId="77777777" w:rsidR="00977449" w:rsidRDefault="00977449" w:rsidP="008355AB">
      <w:pPr>
        <w:pStyle w:val="Default"/>
        <w:rPr>
          <w:rFonts w:ascii="Calibri" w:eastAsia="Calibri" w:hAnsi="Calibri" w:cs="Calibri"/>
        </w:rPr>
      </w:pPr>
    </w:p>
    <w:p w14:paraId="3DA19D46" w14:textId="2CFC6C1A" w:rsidR="008355AB" w:rsidRPr="00EC29E2" w:rsidRDefault="008355AB" w:rsidP="004C35B9">
      <w:pPr>
        <w:pStyle w:val="Heading2"/>
        <w:rPr>
          <w:rFonts w:eastAsia="Calibri"/>
        </w:rPr>
      </w:pPr>
      <w:r w:rsidRPr="00EC29E2">
        <w:rPr>
          <w:rFonts w:eastAsia="Calibri"/>
        </w:rPr>
        <w:t>Home page</w:t>
      </w:r>
    </w:p>
    <w:p w14:paraId="7C1B5D0B" w14:textId="1AB73CF8" w:rsidR="008355AB" w:rsidRDefault="008355AB" w:rsidP="008355AB">
      <w:pPr>
        <w:pStyle w:val="Default"/>
        <w:rPr>
          <w:rFonts w:ascii="Calibri" w:eastAsia="Calibri" w:hAnsi="Calibri" w:cs="Calibri"/>
        </w:rPr>
      </w:pPr>
    </w:p>
    <w:p w14:paraId="6C25B8BD" w14:textId="77777777" w:rsidR="00365269" w:rsidRDefault="00236EE0" w:rsidP="008355AB">
      <w:pPr>
        <w:pStyle w:val="Default"/>
        <w:rPr>
          <w:rFonts w:ascii="Calibri" w:eastAsia="Calibri" w:hAnsi="Calibri" w:cs="Calibri"/>
        </w:rPr>
      </w:pPr>
      <w:r w:rsidRPr="00603165">
        <w:rPr>
          <w:rFonts w:ascii="Calibri" w:eastAsia="Calibri" w:hAnsi="Calibri" w:cs="Calibri"/>
          <w:i/>
        </w:rPr>
        <w:t>Bloomberg.com</w:t>
      </w:r>
      <w:r>
        <w:rPr>
          <w:rFonts w:ascii="Calibri" w:eastAsia="Calibri" w:hAnsi="Calibri" w:cs="Calibri"/>
        </w:rPr>
        <w:t xml:space="preserve"> takes a less proactive approach than some of its competitors in providing subscription CTAs on landing, </w:t>
      </w:r>
      <w:r w:rsidR="000077D1">
        <w:rPr>
          <w:rFonts w:ascii="Calibri" w:eastAsia="Calibri" w:hAnsi="Calibri" w:cs="Calibri"/>
        </w:rPr>
        <w:t>showing</w:t>
      </w:r>
      <w:r>
        <w:rPr>
          <w:rFonts w:ascii="Calibri" w:eastAsia="Calibri" w:hAnsi="Calibri" w:cs="Calibri"/>
        </w:rPr>
        <w:t xml:space="preserve"> only a Subscribe button in the upper right corner. </w:t>
      </w:r>
      <w:r w:rsidR="000077D1">
        <w:rPr>
          <w:rFonts w:ascii="Calibri" w:eastAsia="Calibri" w:hAnsi="Calibri" w:cs="Calibri"/>
        </w:rPr>
        <w:t xml:space="preserve">Instead, its main CTA comes in the form of </w:t>
      </w:r>
      <w:r w:rsidR="002878E5">
        <w:rPr>
          <w:rFonts w:ascii="Calibri" w:eastAsia="Calibri" w:hAnsi="Calibri" w:cs="Calibri"/>
        </w:rPr>
        <w:t xml:space="preserve">a warning to users as they read complimentary articles that the number of </w:t>
      </w:r>
      <w:r w:rsidR="000077D1">
        <w:rPr>
          <w:rFonts w:ascii="Calibri" w:eastAsia="Calibri" w:hAnsi="Calibri" w:cs="Calibri"/>
        </w:rPr>
        <w:t>ones they can read for free</w:t>
      </w:r>
      <w:r w:rsidR="002878E5">
        <w:rPr>
          <w:rFonts w:ascii="Calibri" w:eastAsia="Calibri" w:hAnsi="Calibri" w:cs="Calibri"/>
        </w:rPr>
        <w:t xml:space="preserve"> will soon expire. </w:t>
      </w:r>
    </w:p>
    <w:p w14:paraId="2311F1CB" w14:textId="77777777" w:rsidR="00365269" w:rsidRDefault="00365269" w:rsidP="008355AB">
      <w:pPr>
        <w:pStyle w:val="Default"/>
        <w:rPr>
          <w:rFonts w:ascii="Calibri" w:eastAsia="Calibri" w:hAnsi="Calibri" w:cs="Calibri"/>
        </w:rPr>
      </w:pPr>
    </w:p>
    <w:p w14:paraId="191BD065" w14:textId="7AE33AE3" w:rsidR="00603165" w:rsidRDefault="00603165" w:rsidP="008355AB">
      <w:pPr>
        <w:pStyle w:val="Defaul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It’s worth noting that most competitors, aside from the </w:t>
      </w:r>
      <w:r>
        <w:rPr>
          <w:rFonts w:ascii="Calibri" w:eastAsia="Calibri" w:hAnsi="Calibri" w:cs="Calibri"/>
          <w:i/>
        </w:rPr>
        <w:t>New York Times</w:t>
      </w:r>
      <w:r w:rsidR="00070746">
        <w:rPr>
          <w:rFonts w:ascii="Calibri" w:eastAsia="Calibri" w:hAnsi="Calibri" w:cs="Calibri"/>
        </w:rPr>
        <w:t xml:space="preserve"> and </w:t>
      </w:r>
      <w:r w:rsidR="00070746">
        <w:rPr>
          <w:rFonts w:ascii="Calibri" w:eastAsia="Calibri" w:hAnsi="Calibri" w:cs="Calibri"/>
          <w:i/>
        </w:rPr>
        <w:t>CNBC</w:t>
      </w:r>
      <w:r>
        <w:rPr>
          <w:rFonts w:ascii="Calibri" w:eastAsia="Calibri" w:hAnsi="Calibri" w:cs="Calibri"/>
        </w:rPr>
        <w:t xml:space="preserve">, </w:t>
      </w:r>
      <w:r w:rsidR="0000760A">
        <w:rPr>
          <w:rFonts w:ascii="Calibri" w:eastAsia="Calibri" w:hAnsi="Calibri" w:cs="Calibri"/>
        </w:rPr>
        <w:t>advertise their subscription offers on their Home pages</w:t>
      </w:r>
      <w:r>
        <w:rPr>
          <w:rFonts w:ascii="Calibri" w:eastAsia="Calibri" w:hAnsi="Calibri" w:cs="Calibri"/>
        </w:rPr>
        <w:t>:</w:t>
      </w:r>
    </w:p>
    <w:p w14:paraId="35E7B547" w14:textId="0140D53C" w:rsidR="00603165" w:rsidRDefault="00603165" w:rsidP="008355AB">
      <w:pPr>
        <w:pStyle w:val="Default"/>
        <w:rPr>
          <w:rFonts w:ascii="Calibri" w:eastAsia="Calibri" w:hAnsi="Calibri" w:cs="Calibri"/>
        </w:rPr>
      </w:pPr>
    </w:p>
    <w:p w14:paraId="5E22BA83" w14:textId="5A6DBC70" w:rsidR="00603165" w:rsidRDefault="00070746" w:rsidP="008355AB">
      <w:pPr>
        <w:pStyle w:val="Default"/>
        <w:jc w:val="center"/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3EE3C395" wp14:editId="7C2E56CB">
            <wp:extent cx="2856469" cy="1751260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etitive/Wapo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86" cy="176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t xml:space="preserve">  </w:t>
      </w:r>
      <w:r w:rsidR="00105DA7">
        <w:rPr>
          <w:rFonts w:ascii="Calibri" w:eastAsia="Calibri" w:hAnsi="Calibri" w:cs="Calibri"/>
          <w:noProof/>
        </w:rPr>
        <w:drawing>
          <wp:inline distT="0" distB="0" distL="0" distR="0" wp14:anchorId="3EE2E935" wp14:editId="744CE717">
            <wp:extent cx="2867638" cy="1738130"/>
            <wp:effectExtent l="0" t="0" r="3175" b="0"/>
            <wp:docPr id="1" name="Picture 1" descr="competitive/Economi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etitive/Economist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07" cy="175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11492" w14:textId="77767B0C" w:rsidR="008355AB" w:rsidRPr="00061432" w:rsidRDefault="00932CA6" w:rsidP="008355AB">
      <w:pPr>
        <w:pStyle w:val="Default"/>
        <w:jc w:val="center"/>
        <w:rPr>
          <w:rFonts w:ascii="Calibri" w:eastAsia="Calibri" w:hAnsi="Calibri" w:cs="Calibri"/>
          <w:sz w:val="18"/>
          <w:szCs w:val="18"/>
        </w:rPr>
      </w:pPr>
      <w:r w:rsidRPr="00061432">
        <w:rPr>
          <w:rFonts w:ascii="Calibri" w:eastAsia="Calibri" w:hAnsi="Calibri" w:cs="Calibri"/>
          <w:i/>
          <w:sz w:val="18"/>
          <w:szCs w:val="18"/>
        </w:rPr>
        <w:t>Washington Post</w:t>
      </w:r>
      <w:r w:rsidRPr="00061432">
        <w:rPr>
          <w:rFonts w:ascii="Calibri" w:eastAsia="Calibri" w:hAnsi="Calibri" w:cs="Calibri"/>
          <w:sz w:val="18"/>
          <w:szCs w:val="18"/>
        </w:rPr>
        <w:t xml:space="preserve"> has a prominent CTA in the upper left. </w:t>
      </w:r>
      <w:r w:rsidRPr="00061432">
        <w:rPr>
          <w:rFonts w:ascii="Calibri" w:eastAsia="Calibri" w:hAnsi="Calibri" w:cs="Calibri"/>
          <w:i/>
          <w:sz w:val="18"/>
          <w:szCs w:val="18"/>
        </w:rPr>
        <w:t>The Economist</w:t>
      </w:r>
      <w:r w:rsidRPr="00061432">
        <w:rPr>
          <w:rFonts w:ascii="Calibri" w:eastAsia="Calibri" w:hAnsi="Calibri" w:cs="Calibri"/>
          <w:sz w:val="18"/>
          <w:szCs w:val="18"/>
        </w:rPr>
        <w:t xml:space="preserve"> has a prominent CTA </w:t>
      </w:r>
      <w:r w:rsidR="00061432" w:rsidRPr="00061432">
        <w:rPr>
          <w:rFonts w:ascii="Calibri" w:eastAsia="Calibri" w:hAnsi="Calibri" w:cs="Calibri"/>
          <w:sz w:val="18"/>
          <w:szCs w:val="18"/>
        </w:rPr>
        <w:t>at the bottom of the page</w:t>
      </w:r>
      <w:r w:rsidRPr="00061432">
        <w:rPr>
          <w:rFonts w:ascii="Calibri" w:eastAsia="Calibri" w:hAnsi="Calibri" w:cs="Calibri"/>
          <w:sz w:val="18"/>
          <w:szCs w:val="18"/>
        </w:rPr>
        <w:t>.</w:t>
      </w:r>
    </w:p>
    <w:p w14:paraId="0731BC16" w14:textId="11E1F424" w:rsidR="00603165" w:rsidRDefault="00F10715" w:rsidP="008355AB">
      <w:pPr>
        <w:pStyle w:val="Default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374391C4" wp14:editId="37ED1A2C">
            <wp:extent cx="2922076" cy="1780724"/>
            <wp:effectExtent l="0" t="0" r="0" b="0"/>
            <wp:docPr id="10" name="Picture 10" descr="competitive/wsj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etitive/wsj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79" cy="183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noProof/>
        </w:rPr>
        <w:drawing>
          <wp:inline distT="0" distB="0" distL="0" distR="0" wp14:anchorId="3A49DDE2" wp14:editId="1EC0A7B5">
            <wp:extent cx="2880335" cy="1786669"/>
            <wp:effectExtent l="0" t="0" r="0" b="0"/>
            <wp:docPr id="11" name="Picture 11" descr="competitive/F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petitive/FT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35" cy="178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42793" w14:textId="467B379F" w:rsidR="00932CA6" w:rsidRPr="00061432" w:rsidRDefault="00932CA6" w:rsidP="00932CA6">
      <w:pPr>
        <w:pStyle w:val="Default"/>
        <w:jc w:val="center"/>
        <w:rPr>
          <w:rFonts w:ascii="Calibri" w:eastAsia="Calibri" w:hAnsi="Calibri" w:cs="Calibri"/>
          <w:sz w:val="18"/>
          <w:szCs w:val="18"/>
        </w:rPr>
      </w:pPr>
      <w:r w:rsidRPr="00061432">
        <w:rPr>
          <w:rFonts w:ascii="Calibri" w:eastAsia="Calibri" w:hAnsi="Calibri" w:cs="Calibri"/>
          <w:i/>
          <w:sz w:val="18"/>
          <w:szCs w:val="18"/>
        </w:rPr>
        <w:t>The Wall Street Journal</w:t>
      </w:r>
      <w:r w:rsidRPr="00061432">
        <w:rPr>
          <w:rFonts w:ascii="Calibri" w:eastAsia="Calibri" w:hAnsi="Calibri" w:cs="Calibri"/>
          <w:sz w:val="18"/>
          <w:szCs w:val="18"/>
        </w:rPr>
        <w:t xml:space="preserve"> has a prominent CTA in its footer, which splashes large and then narrows. </w:t>
      </w:r>
      <w:r w:rsidRPr="00061432">
        <w:rPr>
          <w:rFonts w:ascii="Calibri" w:eastAsia="Calibri" w:hAnsi="Calibri" w:cs="Calibri"/>
          <w:i/>
          <w:sz w:val="18"/>
          <w:szCs w:val="18"/>
        </w:rPr>
        <w:t>The Financial Times</w:t>
      </w:r>
      <w:r w:rsidRPr="00061432">
        <w:rPr>
          <w:rFonts w:ascii="Calibri" w:eastAsia="Calibri" w:hAnsi="Calibri" w:cs="Calibri"/>
          <w:sz w:val="18"/>
          <w:szCs w:val="18"/>
        </w:rPr>
        <w:t xml:space="preserve"> has a </w:t>
      </w:r>
      <w:r w:rsidR="00A21B02">
        <w:rPr>
          <w:rFonts w:ascii="Calibri" w:eastAsia="Calibri" w:hAnsi="Calibri" w:cs="Calibri"/>
          <w:sz w:val="18"/>
          <w:szCs w:val="18"/>
        </w:rPr>
        <w:t xml:space="preserve">colorful </w:t>
      </w:r>
      <w:r w:rsidR="00061432" w:rsidRPr="00061432">
        <w:rPr>
          <w:rFonts w:ascii="Calibri" w:eastAsia="Calibri" w:hAnsi="Calibri" w:cs="Calibri"/>
          <w:sz w:val="18"/>
          <w:szCs w:val="18"/>
        </w:rPr>
        <w:t>CTA strip between its global nav and content.</w:t>
      </w:r>
    </w:p>
    <w:p w14:paraId="7B52AE1C" w14:textId="77777777" w:rsidR="00932CA6" w:rsidRDefault="00932CA6" w:rsidP="008355AB">
      <w:pPr>
        <w:pStyle w:val="Default"/>
        <w:rPr>
          <w:rFonts w:ascii="Calibri" w:eastAsia="Calibri" w:hAnsi="Calibri" w:cs="Calibri"/>
          <w:b/>
        </w:rPr>
      </w:pPr>
    </w:p>
    <w:p w14:paraId="7A853652" w14:textId="03A3AD4E" w:rsidR="00932CA6" w:rsidRPr="00EC29E2" w:rsidRDefault="00932CA6" w:rsidP="004C35B9">
      <w:pPr>
        <w:pStyle w:val="Heading2"/>
        <w:rPr>
          <w:rFonts w:eastAsia="Calibri"/>
        </w:rPr>
      </w:pPr>
      <w:r w:rsidRPr="00EC29E2">
        <w:rPr>
          <w:rFonts w:eastAsia="Calibri"/>
        </w:rPr>
        <w:t>Article Paywall</w:t>
      </w:r>
    </w:p>
    <w:p w14:paraId="6381EA16" w14:textId="77777777" w:rsidR="00932CA6" w:rsidRDefault="00932CA6" w:rsidP="008355AB">
      <w:pPr>
        <w:pStyle w:val="Default"/>
        <w:rPr>
          <w:rFonts w:ascii="Calibri" w:eastAsia="Calibri" w:hAnsi="Calibri" w:cs="Calibri"/>
        </w:rPr>
      </w:pPr>
    </w:p>
    <w:p w14:paraId="34CEB8B5" w14:textId="5808C75D" w:rsidR="00977449" w:rsidRDefault="002878E5" w:rsidP="008355AB">
      <w:pPr>
        <w:pStyle w:val="Defaul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Even after a user has reached </w:t>
      </w:r>
      <w:r w:rsidR="00A21B02"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</w:rPr>
        <w:t>10 articl</w:t>
      </w:r>
      <w:r w:rsidR="00603165">
        <w:rPr>
          <w:rFonts w:ascii="Calibri" w:eastAsia="Calibri" w:hAnsi="Calibri" w:cs="Calibri"/>
        </w:rPr>
        <w:t>e</w:t>
      </w:r>
      <w:r w:rsidR="00A21B02">
        <w:rPr>
          <w:rFonts w:ascii="Calibri" w:eastAsia="Calibri" w:hAnsi="Calibri" w:cs="Calibri"/>
        </w:rPr>
        <w:t xml:space="preserve"> read limit</w:t>
      </w:r>
      <w:r w:rsidR="00603165">
        <w:rPr>
          <w:rFonts w:ascii="Calibri" w:eastAsia="Calibri" w:hAnsi="Calibri" w:cs="Calibri"/>
        </w:rPr>
        <w:t xml:space="preserve">, there is no bolder CTA </w:t>
      </w:r>
      <w:r w:rsidR="00894112">
        <w:rPr>
          <w:rFonts w:ascii="Calibri" w:eastAsia="Calibri" w:hAnsi="Calibri" w:cs="Calibri"/>
        </w:rPr>
        <w:t xml:space="preserve">than a small subscribe button </w:t>
      </w:r>
      <w:r w:rsidR="00603165">
        <w:rPr>
          <w:rFonts w:ascii="Calibri" w:eastAsia="Calibri" w:hAnsi="Calibri" w:cs="Calibri"/>
        </w:rPr>
        <w:t xml:space="preserve">on the </w:t>
      </w:r>
      <w:r w:rsidR="008355AB">
        <w:rPr>
          <w:rFonts w:ascii="Calibri" w:eastAsia="Calibri" w:hAnsi="Calibri" w:cs="Calibri"/>
          <w:i/>
        </w:rPr>
        <w:t xml:space="preserve">Bloomberg.com </w:t>
      </w:r>
      <w:r w:rsidR="00603165">
        <w:rPr>
          <w:rFonts w:ascii="Calibri" w:eastAsia="Calibri" w:hAnsi="Calibri" w:cs="Calibri"/>
        </w:rPr>
        <w:t>Home</w:t>
      </w:r>
      <w:r w:rsidR="00894112">
        <w:rPr>
          <w:rFonts w:ascii="Calibri" w:eastAsia="Calibri" w:hAnsi="Calibri" w:cs="Calibri"/>
        </w:rPr>
        <w:t xml:space="preserve"> page, or any other pages </w:t>
      </w:r>
      <w:r w:rsidR="008355AB">
        <w:rPr>
          <w:rFonts w:ascii="Calibri" w:eastAsia="Calibri" w:hAnsi="Calibri" w:cs="Calibri"/>
        </w:rPr>
        <w:t>aside from</w:t>
      </w:r>
      <w:r w:rsidR="00603165">
        <w:rPr>
          <w:rFonts w:ascii="Calibri" w:eastAsia="Calibri" w:hAnsi="Calibri" w:cs="Calibri"/>
        </w:rPr>
        <w:t xml:space="preserve"> the ar</w:t>
      </w:r>
      <w:r w:rsidR="008355AB">
        <w:rPr>
          <w:rFonts w:ascii="Calibri" w:eastAsia="Calibri" w:hAnsi="Calibri" w:cs="Calibri"/>
        </w:rPr>
        <w:t xml:space="preserve">ticle pages, which </w:t>
      </w:r>
      <w:r w:rsidR="00603165">
        <w:rPr>
          <w:rFonts w:ascii="Calibri" w:eastAsia="Calibri" w:hAnsi="Calibri" w:cs="Calibri"/>
        </w:rPr>
        <w:t xml:space="preserve">have the </w:t>
      </w:r>
      <w:r w:rsidR="00932CA6">
        <w:rPr>
          <w:rFonts w:ascii="Calibri" w:eastAsia="Calibri" w:hAnsi="Calibri" w:cs="Calibri"/>
        </w:rPr>
        <w:t xml:space="preserve">paywall </w:t>
      </w:r>
      <w:r w:rsidR="00603165">
        <w:rPr>
          <w:rFonts w:ascii="Calibri" w:eastAsia="Calibri" w:hAnsi="Calibri" w:cs="Calibri"/>
        </w:rPr>
        <w:t xml:space="preserve">CTA that blocks the majority of the article content. </w:t>
      </w:r>
      <w:r w:rsidR="00932CA6">
        <w:rPr>
          <w:rFonts w:ascii="Calibri" w:eastAsia="Calibri" w:hAnsi="Calibri" w:cs="Calibri"/>
        </w:rPr>
        <w:t xml:space="preserve">This CTA leads to the Subscribe page as expected, which outlines subscription plan options. </w:t>
      </w:r>
    </w:p>
    <w:p w14:paraId="122DCF95" w14:textId="77777777" w:rsidR="002878E5" w:rsidRDefault="002878E5" w:rsidP="008355AB">
      <w:pPr>
        <w:pStyle w:val="Default"/>
        <w:rPr>
          <w:rFonts w:ascii="Calibri" w:eastAsia="Calibri" w:hAnsi="Calibri" w:cs="Calibri"/>
        </w:rPr>
      </w:pPr>
    </w:p>
    <w:p w14:paraId="4C859BB2" w14:textId="4FD003B4" w:rsidR="00932CA6" w:rsidRPr="00EC29E2" w:rsidRDefault="00932CA6" w:rsidP="004C35B9">
      <w:pPr>
        <w:pStyle w:val="Heading2"/>
        <w:rPr>
          <w:rFonts w:eastAsia="Calibri"/>
        </w:rPr>
      </w:pPr>
      <w:r w:rsidRPr="00EC29E2">
        <w:rPr>
          <w:rFonts w:eastAsia="Calibri"/>
        </w:rPr>
        <w:t>Subscribe Page Outflow</w:t>
      </w:r>
    </w:p>
    <w:p w14:paraId="7B479172" w14:textId="77777777" w:rsidR="00932CA6" w:rsidRDefault="00932CA6" w:rsidP="008355AB">
      <w:pPr>
        <w:pStyle w:val="Default"/>
        <w:rPr>
          <w:rFonts w:ascii="Calibri" w:eastAsia="Calibri" w:hAnsi="Calibri" w:cs="Calibri"/>
        </w:rPr>
      </w:pPr>
    </w:p>
    <w:p w14:paraId="75D6F75E" w14:textId="3BB8F28E" w:rsidR="00C9479A" w:rsidRDefault="008355AB" w:rsidP="008355AB">
      <w:pPr>
        <w:pStyle w:val="Defaul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Analy</w:t>
      </w:r>
      <w:r w:rsidR="00932CA6">
        <w:rPr>
          <w:rFonts w:ascii="Calibri" w:eastAsia="Calibri" w:hAnsi="Calibri" w:cs="Calibri"/>
        </w:rPr>
        <w:t xml:space="preserve">tics have found that many users leave the Subscribe page to navigate to the Content Group Market and Content Group Quote pages, which do not have a paywall or any other CTA. Almost no users click the What You Get link to consider </w:t>
      </w:r>
      <w:r w:rsidR="00894112">
        <w:rPr>
          <w:rFonts w:ascii="Calibri" w:eastAsia="Calibri" w:hAnsi="Calibri" w:cs="Calibri"/>
        </w:rPr>
        <w:t>its</w:t>
      </w:r>
      <w:r w:rsidR="00932CA6">
        <w:rPr>
          <w:rFonts w:ascii="Calibri" w:eastAsia="Calibri" w:hAnsi="Calibri" w:cs="Calibri"/>
        </w:rPr>
        <w:t xml:space="preserve"> marketing content in weighing the </w:t>
      </w:r>
      <w:r w:rsidR="00894112">
        <w:rPr>
          <w:rFonts w:ascii="Calibri" w:eastAsia="Calibri" w:hAnsi="Calibri" w:cs="Calibri"/>
        </w:rPr>
        <w:t xml:space="preserve">subscription </w:t>
      </w:r>
      <w:r w:rsidR="00932CA6">
        <w:rPr>
          <w:rFonts w:ascii="Calibri" w:eastAsia="Calibri" w:hAnsi="Calibri" w:cs="Calibri"/>
        </w:rPr>
        <w:t xml:space="preserve">offer and value. </w:t>
      </w:r>
      <w:r w:rsidR="00C9479A">
        <w:rPr>
          <w:rFonts w:ascii="Calibri" w:eastAsia="Calibri" w:hAnsi="Calibri" w:cs="Calibri"/>
        </w:rPr>
        <w:t xml:space="preserve">Because the number of users actually landing on What You Get is so small, we don’t know how well that content </w:t>
      </w:r>
      <w:r w:rsidR="00894112">
        <w:rPr>
          <w:rFonts w:ascii="Calibri" w:eastAsia="Calibri" w:hAnsi="Calibri" w:cs="Calibri"/>
        </w:rPr>
        <w:t>would factor</w:t>
      </w:r>
      <w:r w:rsidR="00C9479A">
        <w:rPr>
          <w:rFonts w:ascii="Calibri" w:eastAsia="Calibri" w:hAnsi="Calibri" w:cs="Calibri"/>
        </w:rPr>
        <w:t xml:space="preserve"> into conversion (signing up for a subscription). </w:t>
      </w:r>
    </w:p>
    <w:p w14:paraId="737A258C" w14:textId="77777777" w:rsidR="00C9479A" w:rsidRDefault="00C9479A" w:rsidP="008355AB">
      <w:pPr>
        <w:pStyle w:val="Default"/>
        <w:rPr>
          <w:rFonts w:ascii="Calibri" w:eastAsia="Calibri" w:hAnsi="Calibri" w:cs="Calibri"/>
        </w:rPr>
      </w:pPr>
    </w:p>
    <w:p w14:paraId="73D33FB7" w14:textId="5C07CEBE" w:rsidR="00C9479A" w:rsidRDefault="00C9479A" w:rsidP="008355AB">
      <w:pPr>
        <w:pStyle w:val="Defaul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What You Get link is very small and not positioned in the range of focus on a rather long, boldly styled page:</w:t>
      </w:r>
    </w:p>
    <w:p w14:paraId="0A403397" w14:textId="77777777" w:rsidR="00C9479A" w:rsidRDefault="00C9479A" w:rsidP="008355AB">
      <w:pPr>
        <w:pStyle w:val="Default"/>
        <w:rPr>
          <w:rFonts w:ascii="Calibri" w:eastAsia="Calibri" w:hAnsi="Calibri" w:cs="Calibri"/>
        </w:rPr>
      </w:pPr>
    </w:p>
    <w:p w14:paraId="32933347" w14:textId="342004CA" w:rsidR="00C9479A" w:rsidRDefault="005B067F" w:rsidP="005B067F">
      <w:pPr>
        <w:pStyle w:val="Default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14BE7D4F" wp14:editId="49088871">
            <wp:extent cx="3650614" cy="7595159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petitive/Bloomberg_subscrib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4" cy="75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286A5" w14:textId="77777777" w:rsidR="00932CA6" w:rsidRDefault="00932CA6" w:rsidP="008355AB">
      <w:pPr>
        <w:pStyle w:val="Default"/>
        <w:rPr>
          <w:rFonts w:ascii="Calibri" w:eastAsia="Calibri" w:hAnsi="Calibri" w:cs="Calibri"/>
        </w:rPr>
      </w:pPr>
    </w:p>
    <w:p w14:paraId="050F1771" w14:textId="77777777" w:rsidR="00932CA6" w:rsidRDefault="00932CA6" w:rsidP="008355AB">
      <w:pPr>
        <w:pStyle w:val="Default"/>
        <w:rPr>
          <w:rFonts w:ascii="Calibri" w:eastAsia="Calibri" w:hAnsi="Calibri" w:cs="Calibri"/>
        </w:rPr>
      </w:pPr>
    </w:p>
    <w:p w14:paraId="33199953" w14:textId="20D37C9E" w:rsidR="002878E5" w:rsidRDefault="005B067F" w:rsidP="008355AB">
      <w:pPr>
        <w:pStyle w:val="Defaul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A new content and pathing strategy should be considered to maximize the effectiveness of both the content on the Subscribe and What You Get pages. </w:t>
      </w:r>
    </w:p>
    <w:p w14:paraId="1B3C15E5" w14:textId="77777777" w:rsidR="00455C0B" w:rsidRDefault="00455C0B" w:rsidP="008355AB">
      <w:pPr>
        <w:pStyle w:val="Default"/>
        <w:rPr>
          <w:rFonts w:ascii="Calibri" w:eastAsia="Calibri" w:hAnsi="Calibri" w:cs="Calibri"/>
        </w:rPr>
      </w:pPr>
    </w:p>
    <w:p w14:paraId="6C60793C" w14:textId="5BE73657" w:rsidR="005B067F" w:rsidRDefault="00164331" w:rsidP="004C35B9">
      <w:pPr>
        <w:pStyle w:val="Heading1"/>
      </w:pPr>
      <w:bookmarkStart w:id="0" w:name="_Competitive_Subscription_Paths"/>
      <w:bookmarkEnd w:id="0"/>
      <w:r>
        <w:t xml:space="preserve">Competitive Subscription </w:t>
      </w:r>
      <w:r w:rsidR="009B679A">
        <w:t xml:space="preserve">Paths and </w:t>
      </w:r>
      <w:r>
        <w:t>Strategies</w:t>
      </w:r>
    </w:p>
    <w:p w14:paraId="063771B6" w14:textId="77777777" w:rsidR="005B067F" w:rsidRDefault="005B067F" w:rsidP="008355AB">
      <w:pPr>
        <w:pStyle w:val="Default"/>
        <w:rPr>
          <w:rFonts w:ascii="Calibri" w:hAnsi="Calibri"/>
          <w:sz w:val="31"/>
          <w:szCs w:val="31"/>
        </w:rPr>
      </w:pPr>
    </w:p>
    <w:p w14:paraId="008DEB8F" w14:textId="6D5A25AB" w:rsidR="000F1124" w:rsidRDefault="000F1124" w:rsidP="008355AB">
      <w:pPr>
        <w:pStyle w:val="Defaul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Competitors approach their presentation of a subscription offer different</w:t>
      </w:r>
      <w:r w:rsidR="00164331"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</w:rPr>
        <w:t>, with some choosing to focus on the components of the offer</w:t>
      </w:r>
      <w:r w:rsidR="00164331">
        <w:rPr>
          <w:rFonts w:ascii="Calibri" w:eastAsia="Calibri" w:hAnsi="Calibri" w:cs="Calibri"/>
        </w:rPr>
        <w:t xml:space="preserve"> only</w:t>
      </w:r>
      <w:r>
        <w:rPr>
          <w:rFonts w:ascii="Calibri" w:eastAsia="Calibri" w:hAnsi="Calibri" w:cs="Calibri"/>
        </w:rPr>
        <w:t>, and others providing a “quality of content” promotional section to sell the value</w:t>
      </w:r>
      <w:r w:rsidR="00894112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not just in terms of the components and formats, but richness of the content</w:t>
      </w:r>
      <w:r w:rsidR="00894112">
        <w:rPr>
          <w:rFonts w:ascii="Calibri" w:eastAsia="Calibri" w:hAnsi="Calibri" w:cs="Calibri"/>
        </w:rPr>
        <w:t xml:space="preserve"> and journalism</w:t>
      </w:r>
      <w:r>
        <w:rPr>
          <w:rFonts w:ascii="Calibri" w:eastAsia="Calibri" w:hAnsi="Calibri" w:cs="Calibri"/>
        </w:rPr>
        <w:t xml:space="preserve"> itself. </w:t>
      </w:r>
    </w:p>
    <w:p w14:paraId="0FDD43BA" w14:textId="77777777" w:rsidR="000F1124" w:rsidRDefault="000F1124" w:rsidP="008355AB">
      <w:pPr>
        <w:pStyle w:val="Default"/>
        <w:rPr>
          <w:rFonts w:ascii="Calibri" w:eastAsia="Calibri" w:hAnsi="Calibri" w:cs="Calibri"/>
        </w:rPr>
      </w:pPr>
    </w:p>
    <w:p w14:paraId="5A7FBFF2" w14:textId="33256683" w:rsidR="000F1124" w:rsidRPr="000F1124" w:rsidRDefault="000F1124" w:rsidP="008355AB">
      <w:pPr>
        <w:pStyle w:val="Defaul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i/>
        </w:rPr>
        <w:t xml:space="preserve">Wall Street Journal </w:t>
      </w:r>
      <w:r>
        <w:rPr>
          <w:rFonts w:ascii="Calibri" w:eastAsia="Calibri" w:hAnsi="Calibri" w:cs="Calibri"/>
        </w:rPr>
        <w:t xml:space="preserve">and </w:t>
      </w:r>
      <w:r>
        <w:rPr>
          <w:rFonts w:ascii="Calibri" w:eastAsia="Calibri" w:hAnsi="Calibri" w:cs="Calibri"/>
          <w:i/>
        </w:rPr>
        <w:t>Washington Post</w:t>
      </w:r>
      <w:r>
        <w:rPr>
          <w:rFonts w:ascii="Calibri" w:eastAsia="Calibri" w:hAnsi="Calibri" w:cs="Calibri"/>
        </w:rPr>
        <w:t xml:space="preserve"> keep the subscription landing simple and focus on the components of the offer</w:t>
      </w:r>
      <w:r w:rsidR="00894112">
        <w:rPr>
          <w:rFonts w:ascii="Calibri" w:eastAsia="Calibri" w:hAnsi="Calibri" w:cs="Calibri"/>
        </w:rPr>
        <w:t xml:space="preserve"> only</w:t>
      </w:r>
      <w:r>
        <w:rPr>
          <w:rFonts w:ascii="Calibri" w:eastAsia="Calibri" w:hAnsi="Calibri" w:cs="Calibri"/>
        </w:rPr>
        <w:t xml:space="preserve">. The result is an easier to navigate subscription path, but they also clearly delineate their offers in terms of the exact components (print, digital, premium digital, and student/ gift options) and tiered pricing by month, week or year. These offers are equally easy to navigate on a mobile device because of the simplicity and concise content. </w:t>
      </w:r>
    </w:p>
    <w:p w14:paraId="367BE6FA" w14:textId="77777777" w:rsidR="000F1124" w:rsidRDefault="000F1124" w:rsidP="008355AB">
      <w:pPr>
        <w:pStyle w:val="Default"/>
        <w:rPr>
          <w:rFonts w:ascii="Calibri" w:hAnsi="Calibri"/>
          <w:sz w:val="31"/>
          <w:szCs w:val="31"/>
        </w:rPr>
      </w:pPr>
    </w:p>
    <w:p w14:paraId="18120C4A" w14:textId="1089A1C9" w:rsidR="005B067F" w:rsidRDefault="00A370E6" w:rsidP="008355AB">
      <w:pPr>
        <w:pStyle w:val="Defaul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 wp14:anchorId="5CDE5CFD" wp14:editId="11F9A93B">
            <wp:extent cx="2794635" cy="4197784"/>
            <wp:effectExtent l="0" t="0" r="0" b="0"/>
            <wp:docPr id="19" name="Picture 19" descr="competitive/wsj_whatug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mpetitive/wsj_whatuge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23" cy="421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331">
        <w:rPr>
          <w:rFonts w:ascii="Calibri" w:eastAsia="Calibri" w:hAnsi="Calibri" w:cs="Calibri"/>
          <w:b/>
        </w:rPr>
        <w:t xml:space="preserve"> </w:t>
      </w:r>
      <w:r w:rsidR="00BD7E0C">
        <w:rPr>
          <w:rFonts w:ascii="Calibri" w:eastAsia="Calibri" w:hAnsi="Calibri" w:cs="Calibri"/>
          <w:b/>
          <w:noProof/>
        </w:rPr>
        <w:drawing>
          <wp:inline distT="0" distB="0" distL="0" distR="0" wp14:anchorId="3F98D69E" wp14:editId="7CCC3148">
            <wp:extent cx="3056419" cy="4199468"/>
            <wp:effectExtent l="0" t="0" r="0" b="0"/>
            <wp:docPr id="20" name="Picture 20" descr="competitive/Wapo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petitive/WapoFul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15" cy="421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BE9E4" w14:textId="77777777" w:rsidR="00A370E6" w:rsidRDefault="00A370E6" w:rsidP="008355AB">
      <w:pPr>
        <w:pStyle w:val="Default"/>
        <w:rPr>
          <w:rFonts w:ascii="Calibri" w:eastAsia="Calibri" w:hAnsi="Calibri" w:cs="Calibri"/>
          <w:b/>
        </w:rPr>
      </w:pPr>
    </w:p>
    <w:p w14:paraId="45E670DD" w14:textId="77777777" w:rsidR="000F1124" w:rsidRDefault="000F1124" w:rsidP="008355AB">
      <w:pPr>
        <w:pStyle w:val="Default"/>
        <w:rPr>
          <w:rFonts w:ascii="Calibri" w:eastAsia="Calibri" w:hAnsi="Calibri" w:cs="Calibri"/>
          <w:b/>
        </w:rPr>
      </w:pPr>
    </w:p>
    <w:p w14:paraId="5C2DA9CA" w14:textId="77777777" w:rsidR="00763B62" w:rsidRDefault="00763B62">
      <w:pP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</w:rPr>
        <w:br w:type="page"/>
      </w:r>
    </w:p>
    <w:p w14:paraId="3484A461" w14:textId="232B1CED" w:rsidR="000F1124" w:rsidRPr="000F1124" w:rsidRDefault="000F1124" w:rsidP="008355AB">
      <w:pPr>
        <w:pStyle w:val="Default"/>
        <w:rPr>
          <w:rFonts w:ascii="Calibri" w:eastAsia="Calibri" w:hAnsi="Calibri" w:cs="Calibri"/>
        </w:rPr>
      </w:pPr>
      <w:r w:rsidRPr="000F1124">
        <w:rPr>
          <w:rFonts w:ascii="Calibri" w:eastAsia="Calibri" w:hAnsi="Calibri" w:cs="Calibri"/>
          <w:i/>
        </w:rPr>
        <w:lastRenderedPageBreak/>
        <w:t xml:space="preserve">The Economist </w:t>
      </w:r>
      <w:r w:rsidRPr="000F1124">
        <w:rPr>
          <w:rFonts w:ascii="Calibri" w:eastAsia="Calibri" w:hAnsi="Calibri" w:cs="Calibri"/>
        </w:rPr>
        <w:t xml:space="preserve">spends a bit more effort on </w:t>
      </w:r>
      <w:r w:rsidR="00763B62">
        <w:rPr>
          <w:rFonts w:ascii="Calibri" w:eastAsia="Calibri" w:hAnsi="Calibri" w:cs="Calibri"/>
        </w:rPr>
        <w:t>subscription components and integrates the quality of journalism message briefly on the same pa</w:t>
      </w:r>
      <w:r w:rsidR="00894112">
        <w:rPr>
          <w:rFonts w:ascii="Calibri" w:eastAsia="Calibri" w:hAnsi="Calibri" w:cs="Calibri"/>
        </w:rPr>
        <w:t>ge, via testimonials and brief</w:t>
      </w:r>
      <w:r w:rsidR="00763B62">
        <w:rPr>
          <w:rFonts w:ascii="Calibri" w:eastAsia="Calibri" w:hAnsi="Calibri" w:cs="Calibri"/>
        </w:rPr>
        <w:t xml:space="preserve"> features and benefits summaries: </w:t>
      </w:r>
      <w:r w:rsidR="00763B62">
        <w:rPr>
          <w:rFonts w:ascii="Calibri" w:eastAsia="Calibri" w:hAnsi="Calibri" w:cs="Calibri"/>
        </w:rPr>
        <w:br/>
      </w:r>
    </w:p>
    <w:p w14:paraId="1937E510" w14:textId="77777777" w:rsidR="00763B62" w:rsidRDefault="00A370E6" w:rsidP="000F1124">
      <w:pPr>
        <w:pStyle w:val="Default"/>
        <w:jc w:val="center"/>
        <w:rPr>
          <w:rFonts w:ascii="Calibri" w:eastAsia="Calibri" w:hAnsi="Calibri" w:cs="Calibri"/>
          <w:color w:val="12BF0D"/>
          <w:sz w:val="29"/>
          <w:szCs w:val="29"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 wp14:anchorId="35BF56AC" wp14:editId="6872F7F2">
            <wp:extent cx="3476748" cy="7440818"/>
            <wp:effectExtent l="0" t="0" r="3175" b="1905"/>
            <wp:docPr id="15" name="Picture 15" descr="competitive/Econom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petitive/Economi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622" cy="752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3AF0F" w14:textId="21878A53" w:rsidR="00763B62" w:rsidRDefault="00763B62" w:rsidP="00763B62">
      <w:pPr>
        <w:pStyle w:val="Defaul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Its second subscription path page provides the opportunity to mix and match various subscription options, as a way of letting users confirm their choices:</w:t>
      </w:r>
    </w:p>
    <w:p w14:paraId="73814330" w14:textId="40DFBBB9" w:rsidR="00E233B1" w:rsidRDefault="00763B62" w:rsidP="000F1124">
      <w:pPr>
        <w:pStyle w:val="Default"/>
        <w:jc w:val="center"/>
        <w:rPr>
          <w:rFonts w:ascii="Calibri" w:eastAsia="Calibri" w:hAnsi="Calibri" w:cs="Calibri"/>
          <w:color w:val="12BF0D"/>
          <w:sz w:val="29"/>
          <w:szCs w:val="29"/>
        </w:rPr>
      </w:pPr>
      <w:r>
        <w:rPr>
          <w:rFonts w:ascii="Calibri" w:eastAsia="Calibri" w:hAnsi="Calibri" w:cs="Calibri"/>
        </w:rPr>
        <w:br/>
      </w:r>
      <w:r w:rsidR="00A370E6">
        <w:rPr>
          <w:rFonts w:ascii="Calibri" w:eastAsia="Calibri" w:hAnsi="Calibri" w:cs="Calibri"/>
          <w:noProof/>
          <w:color w:val="12BF0D"/>
          <w:sz w:val="29"/>
          <w:szCs w:val="29"/>
        </w:rPr>
        <w:drawing>
          <wp:inline distT="0" distB="0" distL="0" distR="0" wp14:anchorId="7BA267F9" wp14:editId="7BCF6BBB">
            <wp:extent cx="5139542" cy="3151321"/>
            <wp:effectExtent l="0" t="0" r="0" b="0"/>
            <wp:docPr id="16" name="Picture 16" descr="competitive/economist_buildsubsc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mpetitive/economist_buildsubscr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633" cy="318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587C" w14:textId="77777777" w:rsidR="00A370E6" w:rsidRDefault="00A370E6" w:rsidP="008355AB">
      <w:pPr>
        <w:pStyle w:val="Default"/>
        <w:rPr>
          <w:rFonts w:ascii="Calibri" w:eastAsia="Calibri" w:hAnsi="Calibri" w:cs="Calibri"/>
          <w:color w:val="12BF0D"/>
          <w:sz w:val="29"/>
          <w:szCs w:val="29"/>
        </w:rPr>
      </w:pPr>
    </w:p>
    <w:p w14:paraId="6FA21678" w14:textId="408B9A22" w:rsidR="002431AD" w:rsidRDefault="002431AD" w:rsidP="008355AB">
      <w:pPr>
        <w:pStyle w:val="Default"/>
        <w:rPr>
          <w:rFonts w:ascii="Calibri" w:eastAsia="Calibri" w:hAnsi="Calibri" w:cs="Calibri"/>
        </w:rPr>
      </w:pPr>
      <w:r w:rsidRPr="002431AD">
        <w:rPr>
          <w:rFonts w:ascii="Calibri" w:eastAsia="Calibri" w:hAnsi="Calibri" w:cs="Calibri"/>
          <w:i/>
        </w:rPr>
        <w:t>CNBC</w:t>
      </w:r>
      <w:r>
        <w:rPr>
          <w:rFonts w:ascii="Calibri" w:eastAsia="Calibri" w:hAnsi="Calibri" w:cs="Calibri"/>
        </w:rPr>
        <w:t xml:space="preserve"> and </w:t>
      </w:r>
      <w:r w:rsidRPr="002431AD">
        <w:rPr>
          <w:rFonts w:ascii="Calibri" w:eastAsia="Calibri" w:hAnsi="Calibri" w:cs="Calibri"/>
          <w:i/>
        </w:rPr>
        <w:t>The New York Times</w:t>
      </w:r>
      <w:r>
        <w:rPr>
          <w:rFonts w:ascii="Calibri" w:eastAsia="Calibri" w:hAnsi="Calibri" w:cs="Calibri"/>
        </w:rPr>
        <w:t xml:space="preserve"> take a different approach, like Bloomberg, and provide at least one page detailing the quality of the content itself. However, in CNBC’s case, the page is hidden under a tiny </w:t>
      </w:r>
      <w:r w:rsidR="0009183F">
        <w:rPr>
          <w:rFonts w:ascii="Calibri" w:eastAsia="Calibri" w:hAnsi="Calibri" w:cs="Calibri"/>
        </w:rPr>
        <w:t>Lea</w:t>
      </w:r>
      <w:r w:rsidR="00164331">
        <w:rPr>
          <w:rFonts w:ascii="Calibri" w:eastAsia="Calibri" w:hAnsi="Calibri" w:cs="Calibri"/>
        </w:rPr>
        <w:t>r</w:t>
      </w:r>
      <w:r w:rsidR="0009183F">
        <w:rPr>
          <w:rFonts w:ascii="Calibri" w:eastAsia="Calibri" w:hAnsi="Calibri" w:cs="Calibri"/>
        </w:rPr>
        <w:t>n More</w:t>
      </w:r>
      <w:r>
        <w:rPr>
          <w:rFonts w:ascii="Calibri" w:eastAsia="Calibri" w:hAnsi="Calibri" w:cs="Calibri"/>
        </w:rPr>
        <w:t xml:space="preserve"> link:</w:t>
      </w:r>
    </w:p>
    <w:p w14:paraId="64AFF6E5" w14:textId="77777777" w:rsidR="002431AD" w:rsidRDefault="002431AD" w:rsidP="008355AB">
      <w:pPr>
        <w:pStyle w:val="Default"/>
        <w:rPr>
          <w:rFonts w:ascii="Calibri" w:eastAsia="Calibri" w:hAnsi="Calibri" w:cs="Calibri"/>
        </w:rPr>
      </w:pPr>
    </w:p>
    <w:p w14:paraId="4D9F9CD0" w14:textId="7F4FA76F" w:rsidR="002431AD" w:rsidRDefault="002431AD" w:rsidP="002431AD">
      <w:pPr>
        <w:pStyle w:val="Default"/>
        <w:jc w:val="center"/>
        <w:rPr>
          <w:rFonts w:ascii="Calibri" w:eastAsia="Calibri" w:hAnsi="Calibri" w:cs="Calibri"/>
          <w:color w:val="12BF0D"/>
          <w:sz w:val="29"/>
          <w:szCs w:val="29"/>
        </w:rPr>
      </w:pPr>
      <w:r>
        <w:rPr>
          <w:rFonts w:ascii="Calibri" w:eastAsia="Calibri" w:hAnsi="Calibri" w:cs="Calibri"/>
          <w:noProof/>
          <w:color w:val="12BF0D"/>
          <w:sz w:val="29"/>
          <w:szCs w:val="29"/>
        </w:rPr>
        <w:drawing>
          <wp:inline distT="0" distB="0" distL="0" distR="0" wp14:anchorId="2DD73F4B" wp14:editId="7BB2500C">
            <wp:extent cx="4108788" cy="2458146"/>
            <wp:effectExtent l="0" t="0" r="6350" b="5715"/>
            <wp:docPr id="18" name="Picture 18" descr="competitive/cnbc_whatug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petitive/cnbc_whatuget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938" cy="250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488D4" w14:textId="02B5DF30" w:rsidR="00A370E6" w:rsidRDefault="00A370E6" w:rsidP="002431AD">
      <w:pPr>
        <w:pStyle w:val="Default"/>
        <w:jc w:val="center"/>
        <w:rPr>
          <w:rFonts w:ascii="Calibri" w:eastAsia="Calibri" w:hAnsi="Calibri" w:cs="Calibri"/>
          <w:color w:val="12BF0D"/>
          <w:sz w:val="29"/>
          <w:szCs w:val="29"/>
        </w:rPr>
      </w:pPr>
      <w:r>
        <w:rPr>
          <w:rFonts w:ascii="Calibri" w:eastAsia="Calibri" w:hAnsi="Calibri" w:cs="Calibri"/>
          <w:noProof/>
          <w:color w:val="12BF0D"/>
          <w:sz w:val="29"/>
          <w:szCs w:val="29"/>
        </w:rPr>
        <w:lastRenderedPageBreak/>
        <w:drawing>
          <wp:inline distT="0" distB="0" distL="0" distR="0" wp14:anchorId="6D232B95" wp14:editId="6885EFFD">
            <wp:extent cx="2756973" cy="7889240"/>
            <wp:effectExtent l="0" t="0" r="12065" b="10160"/>
            <wp:docPr id="17" name="Picture 17" descr="competitive/CNBC_whatuge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petitive/CNBC_whatuget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82" cy="789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4AB6D" w14:textId="480167FE" w:rsidR="002431AD" w:rsidRPr="002431AD" w:rsidRDefault="002431AD" w:rsidP="002431AD">
      <w:pPr>
        <w:pStyle w:val="Default"/>
        <w:jc w:val="center"/>
        <w:rPr>
          <w:rFonts w:ascii="Calibri" w:eastAsia="Calibri" w:hAnsi="Calibri" w:cs="Calibri"/>
          <w:color w:val="12BF0D"/>
          <w:sz w:val="18"/>
          <w:szCs w:val="18"/>
        </w:rPr>
      </w:pPr>
      <w:r w:rsidRPr="002431AD">
        <w:rPr>
          <w:rFonts w:ascii="Calibri" w:eastAsia="Calibri" w:hAnsi="Calibri" w:cs="Calibri"/>
          <w:sz w:val="18"/>
          <w:szCs w:val="18"/>
        </w:rPr>
        <w:t xml:space="preserve">Clicking the tiny </w:t>
      </w:r>
      <w:r w:rsidR="0009183F">
        <w:rPr>
          <w:rFonts w:ascii="Calibri" w:eastAsia="Calibri" w:hAnsi="Calibri" w:cs="Calibri"/>
          <w:sz w:val="18"/>
          <w:szCs w:val="18"/>
        </w:rPr>
        <w:t>Learn M</w:t>
      </w:r>
      <w:r w:rsidRPr="002431AD">
        <w:rPr>
          <w:rFonts w:ascii="Calibri" w:eastAsia="Calibri" w:hAnsi="Calibri" w:cs="Calibri"/>
          <w:sz w:val="18"/>
          <w:szCs w:val="18"/>
        </w:rPr>
        <w:t>ore</w:t>
      </w:r>
      <w:r w:rsidR="0009183F">
        <w:rPr>
          <w:rFonts w:ascii="Calibri" w:eastAsia="Calibri" w:hAnsi="Calibri" w:cs="Calibri"/>
          <w:sz w:val="18"/>
          <w:szCs w:val="18"/>
        </w:rPr>
        <w:t xml:space="preserve"> </w:t>
      </w:r>
      <w:r w:rsidRPr="002431AD">
        <w:rPr>
          <w:rFonts w:ascii="Calibri" w:eastAsia="Calibri" w:hAnsi="Calibri" w:cs="Calibri"/>
          <w:sz w:val="18"/>
          <w:szCs w:val="18"/>
        </w:rPr>
        <w:t xml:space="preserve">link </w:t>
      </w:r>
      <w:r w:rsidR="00894112">
        <w:rPr>
          <w:rFonts w:ascii="Calibri" w:eastAsia="Calibri" w:hAnsi="Calibri" w:cs="Calibri"/>
          <w:sz w:val="18"/>
          <w:szCs w:val="18"/>
        </w:rPr>
        <w:t xml:space="preserve">on </w:t>
      </w:r>
      <w:r w:rsidRPr="002431AD">
        <w:rPr>
          <w:rFonts w:ascii="Calibri" w:eastAsia="Calibri" w:hAnsi="Calibri" w:cs="Calibri"/>
          <w:sz w:val="18"/>
          <w:szCs w:val="18"/>
        </w:rPr>
        <w:t>the previous screen results in the richly designed screen above.</w:t>
      </w:r>
    </w:p>
    <w:p w14:paraId="16952BDB" w14:textId="77777777" w:rsidR="002431AD" w:rsidRDefault="002431AD" w:rsidP="002431AD">
      <w:pPr>
        <w:pStyle w:val="Default"/>
        <w:rPr>
          <w:rFonts w:ascii="Calibri" w:eastAsia="Calibri" w:hAnsi="Calibri" w:cs="Calibri"/>
          <w:i/>
        </w:rPr>
      </w:pPr>
    </w:p>
    <w:p w14:paraId="5A0FF4CF" w14:textId="7DC305C2" w:rsidR="002431AD" w:rsidRDefault="002431AD" w:rsidP="002431AD">
      <w:pPr>
        <w:pStyle w:val="Default"/>
        <w:rPr>
          <w:rFonts w:ascii="Calibri" w:eastAsia="Calibri" w:hAnsi="Calibri" w:cs="Calibri"/>
        </w:rPr>
      </w:pPr>
      <w:r w:rsidRPr="002431AD">
        <w:rPr>
          <w:rFonts w:ascii="Calibri" w:eastAsia="Calibri" w:hAnsi="Calibri" w:cs="Calibri"/>
          <w:i/>
        </w:rPr>
        <w:lastRenderedPageBreak/>
        <w:t>The New York Times</w:t>
      </w:r>
      <w:r>
        <w:rPr>
          <w:rFonts w:ascii="Calibri" w:eastAsia="Calibri" w:hAnsi="Calibri" w:cs="Calibri"/>
        </w:rPr>
        <w:t xml:space="preserve"> provides a better way to navigate between the core Subscribe page and other pages that may help sell the offer—through a subnav bar at the top of the page. (However, the subnav is handled inconsistently, </w:t>
      </w:r>
      <w:r w:rsidR="00892C03"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</w:rPr>
        <w:t xml:space="preserve">Subscribe </w:t>
      </w:r>
      <w:r w:rsidR="00892C03">
        <w:rPr>
          <w:rFonts w:ascii="Calibri" w:eastAsia="Calibri" w:hAnsi="Calibri" w:cs="Calibri"/>
        </w:rPr>
        <w:t xml:space="preserve">label changing to </w:t>
      </w:r>
      <w:r>
        <w:rPr>
          <w:rFonts w:ascii="Calibri" w:eastAsia="Calibri" w:hAnsi="Calibri" w:cs="Calibri"/>
        </w:rPr>
        <w:t>Pricing</w:t>
      </w:r>
      <w:r w:rsidR="00892C03">
        <w:rPr>
          <w:rFonts w:ascii="Calibri" w:eastAsia="Calibri" w:hAnsi="Calibri" w:cs="Calibri"/>
        </w:rPr>
        <w:t xml:space="preserve"> on some pages</w:t>
      </w:r>
      <w:r>
        <w:rPr>
          <w:rFonts w:ascii="Calibri" w:eastAsia="Calibri" w:hAnsi="Calibri" w:cs="Calibri"/>
        </w:rPr>
        <w:t>.)</w:t>
      </w:r>
    </w:p>
    <w:p w14:paraId="312F81C4" w14:textId="77777777" w:rsidR="002431AD" w:rsidRDefault="002431AD" w:rsidP="002431AD">
      <w:pPr>
        <w:pStyle w:val="Default"/>
        <w:rPr>
          <w:rFonts w:ascii="Calibri" w:eastAsia="Calibri" w:hAnsi="Calibri" w:cs="Calibri"/>
          <w:color w:val="12BF0D"/>
          <w:sz w:val="29"/>
          <w:szCs w:val="29"/>
        </w:rPr>
      </w:pPr>
    </w:p>
    <w:p w14:paraId="06920A82" w14:textId="77777777" w:rsidR="002431AD" w:rsidRDefault="002431AD" w:rsidP="000F1124">
      <w:pPr>
        <w:pStyle w:val="Default"/>
        <w:jc w:val="center"/>
        <w:rPr>
          <w:rFonts w:ascii="Calibri" w:eastAsia="Calibri" w:hAnsi="Calibri" w:cs="Calibri"/>
          <w:color w:val="12BF0D"/>
          <w:sz w:val="29"/>
          <w:szCs w:val="29"/>
        </w:rPr>
      </w:pPr>
    </w:p>
    <w:p w14:paraId="3782098E" w14:textId="1CE10885" w:rsidR="00A370E6" w:rsidRDefault="000F1124" w:rsidP="000F1124">
      <w:pPr>
        <w:pStyle w:val="Default"/>
        <w:jc w:val="center"/>
        <w:rPr>
          <w:rFonts w:ascii="Calibri" w:eastAsia="Calibri" w:hAnsi="Calibri" w:cs="Calibri"/>
          <w:color w:val="12BF0D"/>
          <w:sz w:val="29"/>
          <w:szCs w:val="29"/>
        </w:rPr>
      </w:pPr>
      <w:r>
        <w:rPr>
          <w:rFonts w:ascii="Calibri" w:eastAsia="Calibri" w:hAnsi="Calibri" w:cs="Calibri"/>
          <w:noProof/>
          <w:color w:val="12BF0D"/>
          <w:sz w:val="29"/>
          <w:szCs w:val="29"/>
        </w:rPr>
        <w:drawing>
          <wp:inline distT="0" distB="0" distL="0" distR="0" wp14:anchorId="001094D0" wp14:editId="1705C22E">
            <wp:extent cx="5504651" cy="3398892"/>
            <wp:effectExtent l="0" t="0" r="7620" b="5080"/>
            <wp:docPr id="24" name="Picture 24" descr="competitive/Times_subscribeNa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mpetitive/Times_subscribeNav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67" cy="341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E5F09" w14:textId="77777777" w:rsidR="002431AD" w:rsidRDefault="002431AD" w:rsidP="000F1124">
      <w:pPr>
        <w:pStyle w:val="Default"/>
        <w:jc w:val="center"/>
        <w:rPr>
          <w:rFonts w:ascii="Calibri" w:eastAsia="Calibri" w:hAnsi="Calibri" w:cs="Calibri"/>
          <w:color w:val="12BF0D"/>
          <w:sz w:val="29"/>
          <w:szCs w:val="29"/>
        </w:rPr>
      </w:pPr>
    </w:p>
    <w:p w14:paraId="4E3D01BC" w14:textId="77777777" w:rsidR="002431AD" w:rsidRDefault="002431AD">
      <w:pP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</w:rPr>
        <w:br w:type="page"/>
      </w:r>
    </w:p>
    <w:p w14:paraId="20D45EA8" w14:textId="3BFE9E10" w:rsidR="002431AD" w:rsidRPr="002431AD" w:rsidRDefault="002431AD" w:rsidP="002431AD">
      <w:pPr>
        <w:pStyle w:val="Defaul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lastRenderedPageBreak/>
        <w:t>The Times</w:t>
      </w:r>
      <w:r>
        <w:rPr>
          <w:rFonts w:ascii="Calibri" w:eastAsia="Calibri" w:hAnsi="Calibri" w:cs="Calibri"/>
        </w:rPr>
        <w:t xml:space="preserve"> provides two pages detailing the richness of their content—What You Get and Why the Times? Both pages are long, colorful, interactive, and promotional—yet, like </w:t>
      </w:r>
      <w:r>
        <w:rPr>
          <w:rFonts w:ascii="Calibri" w:eastAsia="Calibri" w:hAnsi="Calibri" w:cs="Calibri"/>
          <w:i/>
        </w:rPr>
        <w:t xml:space="preserve">Bloomberg’s </w:t>
      </w:r>
      <w:r>
        <w:rPr>
          <w:rFonts w:ascii="Calibri" w:eastAsia="Calibri" w:hAnsi="Calibri" w:cs="Calibri"/>
        </w:rPr>
        <w:t xml:space="preserve">What </w:t>
      </w:r>
      <w:r w:rsidR="0009183F">
        <w:rPr>
          <w:rFonts w:ascii="Calibri" w:eastAsia="Calibri" w:hAnsi="Calibri" w:cs="Calibri"/>
        </w:rPr>
        <w:t xml:space="preserve">You Get page, may never be seen due to their </w:t>
      </w:r>
      <w:r w:rsidR="00164331">
        <w:rPr>
          <w:rFonts w:ascii="Calibri" w:eastAsia="Calibri" w:hAnsi="Calibri" w:cs="Calibri"/>
        </w:rPr>
        <w:t xml:space="preserve">lack of prominence in the flow and </w:t>
      </w:r>
      <w:r w:rsidR="0009183F">
        <w:rPr>
          <w:rFonts w:ascii="Calibri" w:eastAsia="Calibri" w:hAnsi="Calibri" w:cs="Calibri"/>
        </w:rPr>
        <w:t>navigation, which is still somewhat hidden. It is also quite a bit of content to consider.</w:t>
      </w:r>
    </w:p>
    <w:p w14:paraId="7C854C7D" w14:textId="77777777" w:rsidR="002431AD" w:rsidRDefault="002431AD" w:rsidP="000F1124">
      <w:pPr>
        <w:pStyle w:val="Default"/>
        <w:jc w:val="center"/>
        <w:rPr>
          <w:rFonts w:ascii="Calibri" w:eastAsia="Calibri" w:hAnsi="Calibri" w:cs="Calibri"/>
          <w:color w:val="12BF0D"/>
          <w:sz w:val="29"/>
          <w:szCs w:val="29"/>
        </w:rPr>
      </w:pPr>
    </w:p>
    <w:p w14:paraId="01078FBD" w14:textId="69F3557B" w:rsidR="00BD7E0C" w:rsidRDefault="000F1124" w:rsidP="002431AD">
      <w:pPr>
        <w:pStyle w:val="Default"/>
        <w:jc w:val="center"/>
        <w:rPr>
          <w:rFonts w:ascii="Calibri" w:eastAsia="Calibri" w:hAnsi="Calibri" w:cs="Calibri"/>
          <w:color w:val="12BF0D"/>
          <w:sz w:val="29"/>
          <w:szCs w:val="29"/>
        </w:rPr>
      </w:pPr>
      <w:r>
        <w:rPr>
          <w:rFonts w:ascii="Calibri" w:eastAsia="Calibri" w:hAnsi="Calibri" w:cs="Calibri"/>
          <w:noProof/>
          <w:color w:val="12BF0D"/>
          <w:sz w:val="29"/>
          <w:szCs w:val="29"/>
        </w:rPr>
        <w:drawing>
          <wp:inline distT="0" distB="0" distL="0" distR="0" wp14:anchorId="26D11146" wp14:editId="42012C1D">
            <wp:extent cx="1342308" cy="7203440"/>
            <wp:effectExtent l="0" t="0" r="4445" b="0"/>
            <wp:docPr id="22" name="Picture 22" descr="competitive/Times_whatug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mpetitive/Times_whatuge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955" cy="727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331">
        <w:rPr>
          <w:rFonts w:ascii="Calibri" w:eastAsia="Calibri" w:hAnsi="Calibri" w:cs="Calibri"/>
          <w:color w:val="12BF0D"/>
          <w:sz w:val="29"/>
          <w:szCs w:val="29"/>
        </w:rPr>
        <w:t xml:space="preserve">  </w:t>
      </w:r>
      <w:r w:rsidR="00164331">
        <w:rPr>
          <w:rFonts w:ascii="Calibri" w:eastAsia="Calibri" w:hAnsi="Calibri" w:cs="Calibri"/>
          <w:noProof/>
          <w:color w:val="12BF0D"/>
          <w:sz w:val="29"/>
          <w:szCs w:val="29"/>
        </w:rPr>
        <w:drawing>
          <wp:inline distT="0" distB="0" distL="0" distR="0" wp14:anchorId="239C90CD" wp14:editId="486BC863">
            <wp:extent cx="1699567" cy="7225534"/>
            <wp:effectExtent l="0" t="0" r="2540" b="0"/>
            <wp:docPr id="21" name="Picture 21" descr="competitive/whytheTi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mpetitive/whytheTime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17" cy="723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B760F" w14:textId="693E0231" w:rsidR="009B679A" w:rsidRDefault="009B679A" w:rsidP="008355AB">
      <w:pPr>
        <w:pStyle w:val="Defaul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In short, balancing the presentation of pricing, components of an offer, options, subscription terms, and quality of the journalism itself has proven to be a challenge to media outlets in their online subscription paths. </w:t>
      </w:r>
    </w:p>
    <w:p w14:paraId="2AA21BA1" w14:textId="77777777" w:rsidR="009B679A" w:rsidRDefault="009B679A" w:rsidP="008355AB">
      <w:pPr>
        <w:pStyle w:val="Default"/>
        <w:rPr>
          <w:rFonts w:ascii="Calibri" w:eastAsia="Calibri" w:hAnsi="Calibri" w:cs="Calibri"/>
        </w:rPr>
      </w:pPr>
    </w:p>
    <w:p w14:paraId="1A21F94A" w14:textId="3AE0A5AB" w:rsidR="00BD7E0C" w:rsidRDefault="009B679A" w:rsidP="008355AB">
      <w:pPr>
        <w:pStyle w:val="Defaul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Regarding the actual sign-up/ create account screen, all </w:t>
      </w:r>
      <w:r w:rsidR="0009183F">
        <w:rPr>
          <w:rFonts w:ascii="Calibri" w:eastAsia="Calibri" w:hAnsi="Calibri" w:cs="Calibri"/>
        </w:rPr>
        <w:t xml:space="preserve">competitors provide a more intuitive </w:t>
      </w:r>
      <w:r>
        <w:rPr>
          <w:rFonts w:ascii="Calibri" w:eastAsia="Calibri" w:hAnsi="Calibri" w:cs="Calibri"/>
        </w:rPr>
        <w:t>option than</w:t>
      </w:r>
      <w:r w:rsidR="0009183F">
        <w:rPr>
          <w:rFonts w:ascii="Calibri" w:eastAsia="Calibri" w:hAnsi="Calibri" w:cs="Calibri"/>
        </w:rPr>
        <w:t xml:space="preserve"> </w:t>
      </w:r>
      <w:r w:rsidR="0009183F" w:rsidRPr="00892C03">
        <w:rPr>
          <w:rFonts w:ascii="Calibri" w:eastAsia="Calibri" w:hAnsi="Calibri" w:cs="Calibri"/>
        </w:rPr>
        <w:t>Bloomberg</w:t>
      </w:r>
      <w:r w:rsidRPr="00892C03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i/>
        </w:rPr>
        <w:t xml:space="preserve"> </w:t>
      </w:r>
      <w:r w:rsidR="0009183F">
        <w:rPr>
          <w:rFonts w:ascii="Calibri" w:eastAsia="Calibri" w:hAnsi="Calibri" w:cs="Calibri"/>
        </w:rPr>
        <w:t xml:space="preserve">explained further in the </w:t>
      </w:r>
      <w:hyperlink w:anchor="_Sign_up" w:history="1">
        <w:r w:rsidR="00892C03" w:rsidRPr="00892C03">
          <w:rPr>
            <w:rStyle w:val="Hyperlink"/>
            <w:rFonts w:ascii="Calibri" w:eastAsia="Calibri" w:hAnsi="Calibri" w:cs="Calibri"/>
          </w:rPr>
          <w:t>Signup</w:t>
        </w:r>
        <w:r w:rsidR="0009183F" w:rsidRPr="00892C03">
          <w:rPr>
            <w:rStyle w:val="Hyperlink"/>
            <w:rFonts w:ascii="Calibri" w:eastAsia="Calibri" w:hAnsi="Calibri" w:cs="Calibri"/>
          </w:rPr>
          <w:t xml:space="preserve"> section</w:t>
        </w:r>
      </w:hyperlink>
      <w:r w:rsidR="0009183F">
        <w:rPr>
          <w:rFonts w:ascii="Calibri" w:eastAsia="Calibri" w:hAnsi="Calibri" w:cs="Calibri"/>
        </w:rPr>
        <w:t xml:space="preserve">. </w:t>
      </w:r>
      <w:r w:rsidR="00892C03">
        <w:rPr>
          <w:rFonts w:ascii="Calibri" w:eastAsia="Calibri" w:hAnsi="Calibri" w:cs="Calibri"/>
        </w:rPr>
        <w:t>The following</w:t>
      </w:r>
      <w:r w:rsidR="0009183F">
        <w:rPr>
          <w:rFonts w:ascii="Calibri" w:eastAsia="Calibri" w:hAnsi="Calibri" w:cs="Calibri"/>
        </w:rPr>
        <w:t xml:space="preserve"> are some competitive examples of the simplicity of function, labeling, and options on this screen: </w:t>
      </w:r>
    </w:p>
    <w:p w14:paraId="2031EEE5" w14:textId="77777777" w:rsidR="0009183F" w:rsidRDefault="0009183F" w:rsidP="008355AB">
      <w:pPr>
        <w:pStyle w:val="Default"/>
        <w:rPr>
          <w:rFonts w:ascii="Calibri" w:eastAsia="Calibri" w:hAnsi="Calibri" w:cs="Calibri"/>
        </w:rPr>
      </w:pPr>
    </w:p>
    <w:p w14:paraId="60BDF408" w14:textId="47612776" w:rsidR="0009183F" w:rsidRDefault="0009183F" w:rsidP="008355AB">
      <w:pPr>
        <w:pStyle w:val="Defaul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523BFEA5" wp14:editId="3C159593">
            <wp:extent cx="2773581" cy="2174240"/>
            <wp:effectExtent l="0" t="0" r="0" b="10160"/>
            <wp:docPr id="25" name="Picture 25" descr="competitive/WSJ_signu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mpetitive/WSJ_signup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87" cy="218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noProof/>
        </w:rPr>
        <w:drawing>
          <wp:inline distT="0" distB="0" distL="0" distR="0" wp14:anchorId="6332472A" wp14:editId="3766A774">
            <wp:extent cx="3023235" cy="2042980"/>
            <wp:effectExtent l="0" t="0" r="0" b="0"/>
            <wp:docPr id="26" name="Picture 26" descr="competitive/NyTimes_signu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mpetitive/NyTimes_signup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12" cy="20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22D5F" w14:textId="7B638BB1" w:rsidR="0009183F" w:rsidRPr="0009183F" w:rsidRDefault="0009183F" w:rsidP="0009183F">
      <w:pPr>
        <w:pStyle w:val="Default"/>
        <w:jc w:val="center"/>
        <w:rPr>
          <w:rFonts w:ascii="Calibri" w:eastAsia="Calibri" w:hAnsi="Calibri" w:cs="Calibri"/>
          <w:color w:val="12BF0D"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The Wall Street Journal </w:t>
      </w:r>
      <w:r>
        <w:rPr>
          <w:rFonts w:ascii="Calibri" w:eastAsia="Calibri" w:hAnsi="Calibri" w:cs="Calibri"/>
          <w:sz w:val="18"/>
          <w:szCs w:val="18"/>
        </w:rPr>
        <w:t>provides a well-designed visual summary of components, promotional price, and cancellation policy on the right, while the account form is clearly laid out on the left (</w:t>
      </w:r>
      <w:r w:rsidR="00892C03">
        <w:rPr>
          <w:rFonts w:ascii="Calibri" w:eastAsia="Calibri" w:hAnsi="Calibri" w:cs="Calibri"/>
          <w:sz w:val="18"/>
          <w:szCs w:val="18"/>
        </w:rPr>
        <w:t>continuing below the</w:t>
      </w:r>
      <w:r>
        <w:rPr>
          <w:rFonts w:ascii="Calibri" w:eastAsia="Calibri" w:hAnsi="Calibri" w:cs="Calibri"/>
          <w:sz w:val="18"/>
          <w:szCs w:val="18"/>
        </w:rPr>
        <w:t xml:space="preserve"> fold shown here). </w:t>
      </w:r>
      <w:r>
        <w:rPr>
          <w:rFonts w:ascii="Calibri" w:eastAsia="Calibri" w:hAnsi="Calibri" w:cs="Calibri"/>
          <w:i/>
          <w:sz w:val="18"/>
          <w:szCs w:val="18"/>
        </w:rPr>
        <w:t>The New York Times</w:t>
      </w:r>
      <w:r>
        <w:rPr>
          <w:rFonts w:ascii="Calibri" w:eastAsia="Calibri" w:hAnsi="Calibri" w:cs="Calibri"/>
          <w:sz w:val="18"/>
          <w:szCs w:val="18"/>
        </w:rPr>
        <w:t xml:space="preserve"> provides a friendly order summary with conditions on the right, along with Facebook/ Google connect options for account creation, a customer service phone number</w:t>
      </w:r>
      <w:r w:rsidR="00892C03"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z w:val="18"/>
          <w:szCs w:val="18"/>
        </w:rPr>
        <w:t xml:space="preserve"> and secure transaction confirmation. </w:t>
      </w:r>
    </w:p>
    <w:p w14:paraId="7247AEDF" w14:textId="77777777" w:rsidR="0009183F" w:rsidRDefault="0009183F" w:rsidP="008355AB">
      <w:pPr>
        <w:pStyle w:val="Default"/>
        <w:rPr>
          <w:rFonts w:ascii="Calibri" w:eastAsia="Calibri" w:hAnsi="Calibri" w:cs="Calibri"/>
          <w:color w:val="12BF0D"/>
          <w:sz w:val="29"/>
          <w:szCs w:val="29"/>
        </w:rPr>
      </w:pPr>
    </w:p>
    <w:p w14:paraId="24654522" w14:textId="77777777" w:rsidR="00BD7E0C" w:rsidRDefault="00BD7E0C" w:rsidP="008355AB">
      <w:pPr>
        <w:pStyle w:val="Default"/>
        <w:rPr>
          <w:rFonts w:ascii="Calibri" w:eastAsia="Calibri" w:hAnsi="Calibri" w:cs="Calibri"/>
          <w:color w:val="12BF0D"/>
          <w:sz w:val="29"/>
          <w:szCs w:val="29"/>
        </w:rPr>
      </w:pPr>
    </w:p>
    <w:p w14:paraId="5C19DFA3" w14:textId="77777777" w:rsidR="00BD7E0C" w:rsidRDefault="00BD7E0C" w:rsidP="008355AB">
      <w:pPr>
        <w:pStyle w:val="Default"/>
        <w:rPr>
          <w:rFonts w:ascii="Calibri" w:eastAsia="Calibri" w:hAnsi="Calibri" w:cs="Calibri"/>
          <w:color w:val="12BF0D"/>
          <w:sz w:val="29"/>
          <w:szCs w:val="29"/>
        </w:rPr>
      </w:pPr>
    </w:p>
    <w:p w14:paraId="3CF52B0E" w14:textId="77777777" w:rsidR="00EC29E2" w:rsidRDefault="00EC29E2" w:rsidP="005B067F">
      <w:pPr>
        <w:pStyle w:val="Default"/>
        <w:rPr>
          <w:rFonts w:ascii="Calibri" w:hAnsi="Calibri"/>
          <w:sz w:val="31"/>
          <w:szCs w:val="31"/>
        </w:rPr>
      </w:pPr>
    </w:p>
    <w:p w14:paraId="24819D2B" w14:textId="77777777" w:rsidR="00EC29E2" w:rsidRDefault="00EC29E2" w:rsidP="005B067F">
      <w:pPr>
        <w:pStyle w:val="Default"/>
        <w:rPr>
          <w:rFonts w:ascii="Calibri" w:hAnsi="Calibri"/>
          <w:sz w:val="31"/>
          <w:szCs w:val="31"/>
        </w:rPr>
      </w:pPr>
    </w:p>
    <w:p w14:paraId="1B772F60" w14:textId="77777777" w:rsidR="00EC29E2" w:rsidRDefault="00EC29E2" w:rsidP="005B067F">
      <w:pPr>
        <w:pStyle w:val="Default"/>
        <w:rPr>
          <w:rFonts w:ascii="Calibri" w:hAnsi="Calibri"/>
          <w:sz w:val="31"/>
          <w:szCs w:val="31"/>
        </w:rPr>
      </w:pPr>
    </w:p>
    <w:p w14:paraId="100AB026" w14:textId="6FC72DC8" w:rsidR="005B067F" w:rsidRPr="005B067F" w:rsidRDefault="005B067F" w:rsidP="004C35B9">
      <w:pPr>
        <w:pStyle w:val="Heading1"/>
        <w:rPr>
          <w:rFonts w:eastAsia="Calibri" w:cs="Calibri"/>
          <w:b/>
          <w:color w:val="000000"/>
          <w:sz w:val="22"/>
          <w:szCs w:val="22"/>
        </w:rPr>
      </w:pPr>
      <w:r>
        <w:t>Analysis and Recommendations</w:t>
      </w:r>
      <w:r w:rsidR="009B679A">
        <w:t xml:space="preserve"> for the</w:t>
      </w:r>
      <w:r>
        <w:t xml:space="preserve"> </w:t>
      </w:r>
      <w:r>
        <w:rPr>
          <w:i/>
        </w:rPr>
        <w:t>Bloomberg</w:t>
      </w:r>
      <w:r>
        <w:t xml:space="preserve"> </w:t>
      </w:r>
      <w:r w:rsidR="009B679A">
        <w:t>Subscription Path and Strategy</w:t>
      </w:r>
    </w:p>
    <w:p w14:paraId="40FB7C34" w14:textId="77777777" w:rsidR="00E233B1" w:rsidRDefault="00E233B1" w:rsidP="008355AB">
      <w:pPr>
        <w:pStyle w:val="Default"/>
        <w:rPr>
          <w:rFonts w:ascii="Calibri" w:eastAsia="Calibri" w:hAnsi="Calibri" w:cs="Calibri"/>
          <w:color w:val="12BF0D"/>
          <w:sz w:val="29"/>
          <w:szCs w:val="29"/>
        </w:rPr>
      </w:pPr>
    </w:p>
    <w:p w14:paraId="579E8BE2" w14:textId="3E7A29A9" w:rsidR="00EF0BD0" w:rsidRDefault="009B679A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Bloomberg has chosen to focus more screen real estate on a robust Subscribe and What You Get (quality of journalism) page than on CTAs throughout the site, for example, or a clear sign-up page. We feel this strategy needs to be adjusted, particularly in terms of the subscription path itself: clear, focused, easy to access, and concise content will help create a more successful path. The following are </w:t>
      </w:r>
      <w:r w:rsidR="00EF0BD0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key problem areas with recommendations for redesign integrated. </w:t>
      </w:r>
    </w:p>
    <w:p w14:paraId="581EDDAD" w14:textId="77777777" w:rsidR="000F3B62" w:rsidRDefault="000F3B62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</w:p>
    <w:p w14:paraId="332B1635" w14:textId="3B2708D1" w:rsidR="000F3B62" w:rsidRDefault="000F3B62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We recommend a two-page path: Subscribe </w:t>
      </w:r>
      <w:r w:rsidR="00EB775F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followed</w:t>
      </w:r>
      <w:r w:rsidR="00B40EB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by Sign</w:t>
      </w:r>
      <w:r w:rsidR="00105DA7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Up</w:t>
      </w:r>
      <w:r w:rsidR="00B40EB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, with possible mouse-overs</w:t>
      </w:r>
      <w:r w:rsid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, expandable content</w:t>
      </w:r>
      <w:r w:rsidR="00B40EB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or </w:t>
      </w:r>
      <w:r w:rsid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modal</w:t>
      </w:r>
      <w:r w:rsidR="00B40EB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windows, to minimize users getting lost in content that may not add much </w:t>
      </w:r>
      <w:r w:rsid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value </w:t>
      </w:r>
      <w:r w:rsidR="00B40EB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for those considering a subscription. </w:t>
      </w:r>
    </w:p>
    <w:p w14:paraId="78760152" w14:textId="77777777" w:rsidR="00EF0BD0" w:rsidRDefault="00EF0BD0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</w:p>
    <w:p w14:paraId="487F9143" w14:textId="0B39A6F5" w:rsidR="002677D4" w:rsidRPr="00EC29E2" w:rsidRDefault="000F3B62" w:rsidP="004C35B9">
      <w:pPr>
        <w:pStyle w:val="Heading2"/>
        <w:rPr>
          <w:rFonts w:eastAsia="Times New Roman"/>
          <w:bdr w:val="none" w:sz="0" w:space="0" w:color="auto"/>
        </w:rPr>
      </w:pPr>
      <w:r w:rsidRPr="00EC29E2">
        <w:rPr>
          <w:rFonts w:eastAsia="Times New Roman"/>
          <w:bdr w:val="none" w:sz="0" w:space="0" w:color="auto"/>
        </w:rPr>
        <w:lastRenderedPageBreak/>
        <w:t xml:space="preserve">Subscribe </w:t>
      </w:r>
      <w:r w:rsidR="00697E44" w:rsidRPr="00EC29E2">
        <w:rPr>
          <w:rFonts w:eastAsia="Times New Roman"/>
          <w:bdr w:val="none" w:sz="0" w:space="0" w:color="auto"/>
        </w:rPr>
        <w:t>page</w:t>
      </w:r>
    </w:p>
    <w:p w14:paraId="5C5AC640" w14:textId="77777777" w:rsidR="00697E44" w:rsidRDefault="00697E44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</w:p>
    <w:p w14:paraId="74C281C6" w14:textId="008921A0" w:rsidR="00A466F1" w:rsidRDefault="003037F8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The current subscribe page makes it easy to see the two main subscriptions on offer: Digital and All Access, as these are </w:t>
      </w:r>
      <w:r w:rsidR="00B23810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large, prominent,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and highlighted in colo</w:t>
      </w:r>
      <w:r w:rsidR="00B23810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r. Below </w:t>
      </w:r>
      <w:r w:rsid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these two</w:t>
      </w:r>
      <w:r w:rsidR="00B23810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are, presumably, l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ess popular offers of a yearly subscription</w:t>
      </w:r>
      <w:r w:rsidR="00A466F1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and </w:t>
      </w:r>
      <w:r w:rsidR="00A466F1" w:rsidRPr="00A466F1">
        <w:rPr>
          <w:rFonts w:ascii="Calibri" w:eastAsia="Times New Roman" w:hAnsi="Calibri"/>
          <w:i/>
          <w:color w:val="000000"/>
          <w:sz w:val="22"/>
          <w:szCs w:val="22"/>
          <w:bdr w:val="none" w:sz="0" w:space="0" w:color="auto"/>
        </w:rPr>
        <w:t>Businessweek</w:t>
      </w:r>
      <w:r w:rsidR="00A466F1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</w:t>
      </w:r>
      <w:r w:rsid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subscription</w:t>
      </w:r>
      <w:r w:rsidR="00A466F1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only. Below these offers are FAQs. There is also a hero area at the top of the page with key brand messaging and various media</w:t>
      </w:r>
      <w:r w:rsid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images</w:t>
      </w:r>
      <w:r w:rsidR="00A466F1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—a print magazine and </w:t>
      </w:r>
      <w:r w:rsid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different</w:t>
      </w:r>
      <w:r w:rsidR="00A466F1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digital devices showing </w:t>
      </w:r>
      <w:r w:rsidR="00A466F1" w:rsidRPr="00A466F1">
        <w:rPr>
          <w:rFonts w:ascii="Calibri" w:eastAsia="Times New Roman" w:hAnsi="Calibri"/>
          <w:i/>
          <w:color w:val="000000"/>
          <w:sz w:val="22"/>
          <w:szCs w:val="22"/>
          <w:bdr w:val="none" w:sz="0" w:space="0" w:color="auto"/>
        </w:rPr>
        <w:t>Bloomberg</w:t>
      </w:r>
      <w:r w:rsidR="00A466F1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content. Finally, there is a tiny line about Bloomberg Anywhere clients getting free </w:t>
      </w:r>
      <w:r w:rsidR="00B40EB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access (with a link to the sign in screen) and also </w:t>
      </w:r>
      <w:r w:rsid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a </w:t>
      </w:r>
      <w:r w:rsidR="00B40EB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tiny Contact Us, What You Get, Help and meta-level Bloomberg corporate and Anywhere/ terminal demo links. </w:t>
      </w:r>
    </w:p>
    <w:p w14:paraId="7E02615F" w14:textId="77777777" w:rsidR="00B23810" w:rsidRDefault="00B23810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</w:p>
    <w:p w14:paraId="3C5E791D" w14:textId="338B2C55" w:rsidR="00B23810" w:rsidRDefault="00C17B1E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The following</w:t>
      </w:r>
      <w:r w:rsidR="00B23810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are the main problem areas and recommendations for improvement:</w:t>
      </w:r>
    </w:p>
    <w:p w14:paraId="267F1DEE" w14:textId="77777777" w:rsidR="00B40EBB" w:rsidRDefault="00B40EBB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</w:p>
    <w:p w14:paraId="7E747C01" w14:textId="2DC50FA7" w:rsidR="00B40EBB" w:rsidRDefault="00B40EBB" w:rsidP="004C35B9">
      <w:pPr>
        <w:pStyle w:val="Heading4"/>
        <w:rPr>
          <w:rFonts w:eastAsia="Times New Roman"/>
          <w:bdr w:val="none" w:sz="0" w:space="0" w:color="auto"/>
        </w:rPr>
      </w:pPr>
      <w:r w:rsidRPr="00EC29E2">
        <w:rPr>
          <w:rFonts w:eastAsia="Times New Roman"/>
          <w:bdr w:val="none" w:sz="0" w:space="0" w:color="auto"/>
        </w:rPr>
        <w:t xml:space="preserve">Page </w:t>
      </w:r>
      <w:r w:rsidR="00EC29E2">
        <w:rPr>
          <w:rFonts w:eastAsia="Times New Roman"/>
          <w:bdr w:val="none" w:sz="0" w:space="0" w:color="auto"/>
        </w:rPr>
        <w:t>overall</w:t>
      </w:r>
      <w:r w:rsidR="00B23810">
        <w:rPr>
          <w:rFonts w:eastAsia="Times New Roman"/>
          <w:bdr w:val="none" w:sz="0" w:space="0" w:color="auto"/>
        </w:rPr>
        <w:t xml:space="preserve"> and global nav</w:t>
      </w:r>
    </w:p>
    <w:p w14:paraId="71C71876" w14:textId="77777777" w:rsidR="00B23810" w:rsidRPr="00EC29E2" w:rsidRDefault="00B23810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i/>
          <w:color w:val="000000"/>
          <w:sz w:val="22"/>
          <w:szCs w:val="22"/>
          <w:bdr w:val="none" w:sz="0" w:space="0" w:color="auto"/>
        </w:rPr>
      </w:pPr>
    </w:p>
    <w:p w14:paraId="55C6223B" w14:textId="274EB20C" w:rsidR="00B40EBB" w:rsidRDefault="00C17B1E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Though the page leads fairly quickly to subscription options, it is a long page and not labeled. Give it a header or label such as </w:t>
      </w:r>
      <w:r w:rsidR="00B23810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“</w:t>
      </w:r>
      <w:r w:rsidR="00B40EB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Subscribe to Bloomberg</w:t>
      </w:r>
      <w:r w:rsidR="00B23810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.” The corporate links in black don’t really seem to have a place on this page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, so if they can be eliminated, that would be best. Finally,</w:t>
      </w:r>
      <w:r w:rsidR="00B23810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the 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Help and </w:t>
      </w:r>
      <w:r w:rsidR="00B23810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Contact links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and small and scattered</w:t>
      </w:r>
      <w:r w:rsidR="00B23810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—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it’s best not to hide these but make a clear choice of how to integrate support options here or on the Sign Up page. </w:t>
      </w:r>
    </w:p>
    <w:p w14:paraId="3E96F0E9" w14:textId="77777777" w:rsidR="00B40EBB" w:rsidRDefault="00B40EBB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</w:p>
    <w:p w14:paraId="6037464E" w14:textId="2CF217FC" w:rsidR="00B40EBB" w:rsidRDefault="00B40EBB" w:rsidP="004C35B9">
      <w:pPr>
        <w:pStyle w:val="Heading4"/>
        <w:rPr>
          <w:rFonts w:eastAsia="Times New Roman"/>
          <w:bdr w:val="none" w:sz="0" w:space="0" w:color="auto"/>
        </w:rPr>
      </w:pPr>
      <w:r w:rsidRPr="00EC29E2">
        <w:rPr>
          <w:rFonts w:eastAsia="Times New Roman"/>
          <w:bdr w:val="none" w:sz="0" w:space="0" w:color="auto"/>
        </w:rPr>
        <w:t xml:space="preserve">Hero </w:t>
      </w:r>
    </w:p>
    <w:p w14:paraId="68046DF9" w14:textId="77777777" w:rsidR="00B23810" w:rsidRPr="00EC29E2" w:rsidRDefault="00B23810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i/>
          <w:color w:val="000000"/>
          <w:sz w:val="22"/>
          <w:szCs w:val="22"/>
          <w:bdr w:val="none" w:sz="0" w:space="0" w:color="auto"/>
        </w:rPr>
      </w:pPr>
    </w:p>
    <w:p w14:paraId="16733A41" w14:textId="06C1E251" w:rsidR="00112C1E" w:rsidRDefault="00B23810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While a c</w:t>
      </w:r>
      <w:r w:rsidR="00B40EB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oncise tagline is good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,</w:t>
      </w:r>
      <w:r w:rsidR="00B40EB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the digital devices </w:t>
      </w:r>
      <w:r w:rsid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displayed without 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clear differentiation in</w:t>
      </w:r>
      <w:r w:rsidR="00B40EB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content do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n’t add much</w:t>
      </w:r>
      <w:r w:rsid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. We recommend considering if 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is there a way to show or at least allude to native apps and the advantages that come with differ</w:t>
      </w:r>
      <w:r w:rsid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en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t media types</w:t>
      </w:r>
      <w:r w:rsid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.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This </w:t>
      </w:r>
      <w:r w:rsidR="00B40EB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area 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could also incorporate a</w:t>
      </w:r>
      <w:r w:rsidR="00B40EB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link to a </w:t>
      </w:r>
      <w:r w:rsidR="00B40EBB" w:rsidRP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Why Bloomberg</w:t>
      </w:r>
      <w:r w:rsidRP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?</w:t>
      </w:r>
      <w:r w:rsidR="00B40EB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or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</w:t>
      </w:r>
      <w:r w:rsidRP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Bloomberg </w:t>
      </w:r>
      <w:r w:rsidR="00112C1E" w:rsidRP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A</w:t>
      </w:r>
      <w:r w:rsidRP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dvantage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slideshow modal window</w:t>
      </w:r>
      <w:r w:rsid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(or expandable page area)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, so the user wouldn’t have to leave the main Subscribe page to read about </w:t>
      </w:r>
      <w:r w:rsid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Bloomberg’s 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journalistic differentiation.</w:t>
      </w:r>
      <w:r w:rsidR="00112C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</w:t>
      </w:r>
    </w:p>
    <w:p w14:paraId="5E4DB31E" w14:textId="77777777" w:rsidR="00B40EBB" w:rsidRDefault="00B40EBB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</w:p>
    <w:p w14:paraId="5E8EEBA6" w14:textId="27915832" w:rsidR="00B40EBB" w:rsidRDefault="00B40EBB" w:rsidP="004C35B9">
      <w:pPr>
        <w:pStyle w:val="Heading4"/>
        <w:rPr>
          <w:rFonts w:eastAsia="Times New Roman"/>
          <w:bdr w:val="none" w:sz="0" w:space="0" w:color="auto"/>
        </w:rPr>
      </w:pPr>
      <w:r w:rsidRPr="00EC29E2">
        <w:rPr>
          <w:rFonts w:eastAsia="Times New Roman"/>
          <w:bdr w:val="none" w:sz="0" w:space="0" w:color="auto"/>
        </w:rPr>
        <w:t>Offers</w:t>
      </w:r>
    </w:p>
    <w:p w14:paraId="1B894492" w14:textId="77777777" w:rsidR="003F715E" w:rsidRPr="00EC29E2" w:rsidRDefault="003F715E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i/>
          <w:color w:val="000000"/>
          <w:sz w:val="22"/>
          <w:szCs w:val="22"/>
          <w:bdr w:val="none" w:sz="0" w:space="0" w:color="auto"/>
        </w:rPr>
      </w:pPr>
    </w:p>
    <w:p w14:paraId="028933E7" w14:textId="58F76F33" w:rsidR="001E5325" w:rsidRDefault="003F715E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The pricing is a bit confusing, as the blue $9.99 “pops</w:t>
      </w:r>
      <w:r w:rsidR="001E5325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” visually for both offers, but doesn’t differentiate them. The</w:t>
      </w:r>
      <w:r w:rsidR="00854B55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</w:t>
      </w:r>
      <w:r w:rsidR="002B2534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similar </w:t>
      </w:r>
      <w:r w:rsidR="001E5325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$</w:t>
      </w:r>
      <w:r w:rsidR="00854B55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34.99 vs. </w:t>
      </w:r>
      <w:r w:rsidR="00C17B1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$</w:t>
      </w:r>
      <w:r w:rsidR="00854B55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39.99</w:t>
      </w:r>
      <w:r w:rsidR="001E5325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full prices </w:t>
      </w:r>
      <w:r w:rsidR="002B2534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in gray </w:t>
      </w:r>
      <w:r w:rsidR="001E5325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are </w:t>
      </w:r>
      <w:r w:rsidR="002B2534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difficult</w:t>
      </w:r>
      <w:r w:rsidR="00854B55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to see. </w:t>
      </w:r>
      <w:r w:rsidR="006713CA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These prices are also not as aggressive as most of the competitive offers to try a subscription. </w:t>
      </w:r>
    </w:p>
    <w:p w14:paraId="5858F95B" w14:textId="77777777" w:rsidR="001E5325" w:rsidRDefault="001E5325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</w:p>
    <w:p w14:paraId="2484287A" w14:textId="3F875EC5" w:rsidR="006713CA" w:rsidRDefault="006713CA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The </w:t>
      </w:r>
      <w:r w:rsidR="002B2534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Plan Details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links are easy to miss, and here’s where </w:t>
      </w:r>
      <w:r w:rsidR="001E5325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the offers might benefit from editing of the components and integration of some verbal points from the current What You Get page, possibl</w:t>
      </w:r>
      <w:r w:rsidR="002B2534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y</w:t>
      </w:r>
      <w:r w:rsidR="001E5325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coupled with icons or visuals to reinforce how much users are getting with all the various features of the offers. (See </w:t>
      </w:r>
      <w:hyperlink w:anchor="_What_You_Get" w:history="1">
        <w:r w:rsidR="001E5325" w:rsidRPr="004C35B9">
          <w:rPr>
            <w:rStyle w:val="Hyperlink"/>
            <w:rFonts w:ascii="Calibri" w:eastAsia="Times New Roman" w:hAnsi="Calibri"/>
            <w:sz w:val="22"/>
            <w:szCs w:val="22"/>
            <w:bdr w:val="none" w:sz="0" w:space="0" w:color="auto"/>
          </w:rPr>
          <w:t>What You Get</w:t>
        </w:r>
      </w:hyperlink>
      <w:r w:rsidR="001E5325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for recommendations on incorporating some of that content here). </w:t>
      </w:r>
    </w:p>
    <w:p w14:paraId="3259FA6B" w14:textId="77777777" w:rsidR="00E27572" w:rsidRDefault="00E27572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</w:p>
    <w:p w14:paraId="40E89CA9" w14:textId="5C122868" w:rsidR="00E27572" w:rsidRPr="00E27572" w:rsidRDefault="00E27572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Annual Digital Access could be integrated with the Digital offer above </w:t>
      </w:r>
      <w:r w:rsidR="0007447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it 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as an option instead of a separate offer. </w:t>
      </w:r>
      <w:r>
        <w:rPr>
          <w:rFonts w:ascii="Calibri" w:eastAsia="Times New Roman" w:hAnsi="Calibri"/>
          <w:i/>
          <w:color w:val="000000"/>
          <w:sz w:val="22"/>
          <w:szCs w:val="22"/>
          <w:bdr w:val="none" w:sz="0" w:space="0" w:color="auto"/>
        </w:rPr>
        <w:t>Bloomberg Businessweek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seems to indicate that just the print magazine is included</w:t>
      </w:r>
      <w:r w:rsidR="000F7D3D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, but because a Businessweek app and access to Businessweek.com is mentioned elsewhere, it would help to be specific. </w:t>
      </w:r>
    </w:p>
    <w:p w14:paraId="0BBE7466" w14:textId="77777777" w:rsidR="006713CA" w:rsidRDefault="006713CA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</w:p>
    <w:p w14:paraId="123E43A7" w14:textId="775573E6" w:rsidR="0007447E" w:rsidRDefault="0007447E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lastRenderedPageBreak/>
        <w:t>Bloomberg Anywhere is not explained as an offer, which might leave some users wondering why they are not being invited to consider it.</w:t>
      </w:r>
    </w:p>
    <w:p w14:paraId="79B60946" w14:textId="77777777" w:rsidR="0007447E" w:rsidRDefault="0007447E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</w:p>
    <w:p w14:paraId="0DF12B11" w14:textId="61486BBC" w:rsidR="00B40EBB" w:rsidRPr="00EC29E2" w:rsidRDefault="00B40EBB" w:rsidP="004C35B9">
      <w:pPr>
        <w:pStyle w:val="Heading4"/>
        <w:rPr>
          <w:rFonts w:eastAsia="Times New Roman"/>
          <w:bdr w:val="none" w:sz="0" w:space="0" w:color="auto"/>
        </w:rPr>
      </w:pPr>
      <w:r w:rsidRPr="00EC29E2">
        <w:rPr>
          <w:rFonts w:eastAsia="Times New Roman"/>
          <w:bdr w:val="none" w:sz="0" w:space="0" w:color="auto"/>
        </w:rPr>
        <w:t>FAQs</w:t>
      </w:r>
      <w:r w:rsidR="00E27572">
        <w:rPr>
          <w:rFonts w:eastAsia="Times New Roman"/>
          <w:bdr w:val="none" w:sz="0" w:space="0" w:color="auto"/>
        </w:rPr>
        <w:t>/ Common Questions</w:t>
      </w:r>
    </w:p>
    <w:p w14:paraId="780DE7CA" w14:textId="77777777" w:rsidR="00B40EBB" w:rsidRDefault="00B40EBB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</w:p>
    <w:p w14:paraId="634E9D52" w14:textId="307D51D3" w:rsidR="00466254" w:rsidRDefault="00466254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The first three FAQs seem unnecessary if t</w:t>
      </w:r>
      <w:r w:rsidR="0066179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he offers were better detailed, pushing the last three, which seem more helpful, down the long page. </w:t>
      </w:r>
    </w:p>
    <w:p w14:paraId="5035A86B" w14:textId="77777777" w:rsidR="000F3B62" w:rsidRDefault="000F3B62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</w:p>
    <w:p w14:paraId="48554159" w14:textId="77777777" w:rsidR="00C55A9B" w:rsidRDefault="00C55A9B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</w:p>
    <w:p w14:paraId="30201E10" w14:textId="121657C7" w:rsidR="000F3B62" w:rsidRPr="003F715E" w:rsidRDefault="003F715E" w:rsidP="004C35B9">
      <w:pPr>
        <w:pStyle w:val="Heading2"/>
        <w:rPr>
          <w:rFonts w:eastAsia="Times New Roman"/>
          <w:bdr w:val="none" w:sz="0" w:space="0" w:color="auto"/>
        </w:rPr>
      </w:pPr>
      <w:bookmarkStart w:id="1" w:name="_What_You_Get"/>
      <w:bookmarkEnd w:id="1"/>
      <w:r w:rsidRPr="003F715E">
        <w:rPr>
          <w:rFonts w:eastAsia="Times New Roman"/>
          <w:bdr w:val="none" w:sz="0" w:space="0" w:color="auto"/>
        </w:rPr>
        <w:t>What You Get</w:t>
      </w:r>
    </w:p>
    <w:p w14:paraId="27F58C5B" w14:textId="77777777" w:rsidR="003F715E" w:rsidRDefault="003F715E" w:rsidP="000F3B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</w:p>
    <w:p w14:paraId="647BF319" w14:textId="3BE2BB1C" w:rsidR="003F715E" w:rsidRDefault="003F715E" w:rsidP="003F71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As mentioned</w:t>
      </w:r>
      <w:r w:rsidR="00C55A9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previously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, this page might work better as a modal window </w:t>
      </w:r>
      <w:r w:rsidR="0007447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or expandable area 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of the main Subscribe page, so users don’t veer off the path to conversion</w:t>
      </w:r>
      <w:r w:rsidR="0007447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. However,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because some of the content points to details about the actual components of the subscription offer</w:t>
      </w:r>
      <w:r w:rsidR="00C55A9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and other content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highlight</w:t>
      </w:r>
      <w:r w:rsidR="00C55A9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s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the style, topics, and </w:t>
      </w:r>
      <w:r w:rsidR="00C55A9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journalistic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benefits, it might be best to determine which could be separated out and incorporated </w:t>
      </w:r>
      <w:r w:rsidR="00654FB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directly </w:t>
      </w:r>
      <w:r w:rsidR="00A07F63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in</w:t>
      </w:r>
      <w:r w:rsidR="0007447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to</w:t>
      </w:r>
      <w:r w:rsidR="00A07F63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the offers area 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on the main Subscribe</w:t>
      </w:r>
      <w:r w:rsidR="00A07F63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. </w:t>
      </w:r>
      <w:r w:rsidR="00654FB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Separating this content in the fashion</w:t>
      </w:r>
      <w:r w:rsidR="0007447E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below would also help make it </w:t>
      </w:r>
      <w:r w:rsidR="00654FBB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not so overwhelming. </w:t>
      </w:r>
    </w:p>
    <w:p w14:paraId="0229F534" w14:textId="77777777" w:rsidR="003F715E" w:rsidRDefault="003F715E" w:rsidP="003F71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5755"/>
      </w:tblGrid>
      <w:tr w:rsidR="00105DA7" w14:paraId="2E6E5CAF" w14:textId="77777777" w:rsidTr="00105DA7">
        <w:trPr>
          <w:trHeight w:val="323"/>
        </w:trPr>
        <w:tc>
          <w:tcPr>
            <w:tcW w:w="9350" w:type="dxa"/>
            <w:gridSpan w:val="2"/>
            <w:shd w:val="clear" w:color="auto" w:fill="5E5E5E" w:themeFill="text2"/>
          </w:tcPr>
          <w:p w14:paraId="6815FBEB" w14:textId="1366F789" w:rsidR="00105DA7" w:rsidRPr="00105DA7" w:rsidRDefault="00105DA7" w:rsidP="00105D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FFFFFF" w:themeColor="background1"/>
                <w:sz w:val="20"/>
                <w:szCs w:val="20"/>
                <w:bdr w:val="none" w:sz="0" w:space="0" w:color="auto"/>
              </w:rPr>
            </w:pPr>
            <w:r w:rsidRPr="00105DA7">
              <w:rPr>
                <w:rFonts w:ascii="Calibri" w:eastAsia="Times New Roman" w:hAnsi="Calibri"/>
                <w:color w:val="FFFFFF" w:themeColor="background1"/>
                <w:sz w:val="20"/>
                <w:szCs w:val="20"/>
                <w:bdr w:val="none" w:sz="0" w:space="0" w:color="auto"/>
              </w:rPr>
              <w:t xml:space="preserve">Inventory of What You Get </w:t>
            </w:r>
            <w:r>
              <w:rPr>
                <w:rFonts w:ascii="Calibri" w:eastAsia="Times New Roman" w:hAnsi="Calibri"/>
                <w:color w:val="FFFFFF" w:themeColor="background1"/>
                <w:sz w:val="20"/>
                <w:szCs w:val="20"/>
                <w:bdr w:val="none" w:sz="0" w:space="0" w:color="auto"/>
              </w:rPr>
              <w:t>features and benefits content</w:t>
            </w:r>
          </w:p>
        </w:tc>
      </w:tr>
      <w:tr w:rsidR="003F715E" w14:paraId="601C0BCC" w14:textId="77777777" w:rsidTr="00105DA7">
        <w:trPr>
          <w:trHeight w:val="710"/>
        </w:trPr>
        <w:tc>
          <w:tcPr>
            <w:tcW w:w="3595" w:type="dxa"/>
          </w:tcPr>
          <w:p w14:paraId="1EB08DAE" w14:textId="0430FA31" w:rsidR="003F715E" w:rsidRPr="003F715E" w:rsidRDefault="003F715E" w:rsidP="00235A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</w:pPr>
            <w:r w:rsidRPr="003F715E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>CONTENT-SPECIFIC POINTS</w:t>
            </w:r>
            <w:r w:rsidR="00654FBB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 xml:space="preserve">: </w:t>
            </w:r>
            <w:r w:rsidR="005775F2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br/>
            </w:r>
            <w:r w:rsidR="00654FBB" w:rsidRPr="005775F2">
              <w:rPr>
                <w:rFonts w:ascii="Calibri" w:eastAsia="Times New Roman" w:hAnsi="Calibri"/>
                <w:i/>
                <w:color w:val="000000"/>
                <w:sz w:val="18"/>
                <w:szCs w:val="18"/>
                <w:bdr w:val="none" w:sz="0" w:space="0" w:color="auto"/>
              </w:rPr>
              <w:t>feature these in the modal window</w:t>
            </w:r>
            <w:r w:rsidR="0007447E">
              <w:rPr>
                <w:rFonts w:ascii="Calibri" w:eastAsia="Times New Roman" w:hAnsi="Calibri"/>
                <w:i/>
                <w:color w:val="000000"/>
                <w:sz w:val="18"/>
                <w:szCs w:val="18"/>
                <w:bdr w:val="none" w:sz="0" w:space="0" w:color="auto"/>
              </w:rPr>
              <w:t xml:space="preserve"> clickable from the hero</w:t>
            </w:r>
          </w:p>
        </w:tc>
        <w:tc>
          <w:tcPr>
            <w:tcW w:w="5755" w:type="dxa"/>
          </w:tcPr>
          <w:p w14:paraId="7638121E" w14:textId="6338B9D6" w:rsidR="003F715E" w:rsidRPr="003F715E" w:rsidRDefault="003F715E" w:rsidP="000744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</w:pPr>
            <w:r w:rsidRPr="003F715E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>COMPONENTS OF OFFER</w:t>
            </w:r>
            <w:r w:rsidR="00654FBB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 xml:space="preserve">: </w:t>
            </w:r>
            <w:r w:rsidR="005775F2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br/>
            </w:r>
            <w:r w:rsidR="00654FBB" w:rsidRPr="005775F2">
              <w:rPr>
                <w:rFonts w:ascii="Calibri" w:eastAsia="Times New Roman" w:hAnsi="Calibri"/>
                <w:i/>
                <w:color w:val="000000"/>
                <w:sz w:val="18"/>
                <w:szCs w:val="18"/>
                <w:bdr w:val="none" w:sz="0" w:space="0" w:color="auto"/>
              </w:rPr>
              <w:t xml:space="preserve">integrate these </w:t>
            </w:r>
            <w:r w:rsidR="0007447E">
              <w:rPr>
                <w:rFonts w:ascii="Calibri" w:eastAsia="Times New Roman" w:hAnsi="Calibri"/>
                <w:i/>
                <w:color w:val="000000"/>
                <w:sz w:val="18"/>
                <w:szCs w:val="18"/>
                <w:bdr w:val="none" w:sz="0" w:space="0" w:color="auto"/>
              </w:rPr>
              <w:t>with the offer sections</w:t>
            </w:r>
            <w:r w:rsidR="00654FBB" w:rsidRPr="005775F2">
              <w:rPr>
                <w:rFonts w:ascii="Calibri" w:eastAsia="Times New Roman" w:hAnsi="Calibri"/>
                <w:i/>
                <w:color w:val="000000"/>
                <w:sz w:val="18"/>
                <w:szCs w:val="18"/>
                <w:bdr w:val="none" w:sz="0" w:space="0" w:color="auto"/>
              </w:rPr>
              <w:t xml:space="preserve"> (</w:t>
            </w:r>
            <w:r w:rsidR="0007447E">
              <w:rPr>
                <w:rFonts w:ascii="Calibri" w:eastAsia="Times New Roman" w:hAnsi="Calibri"/>
                <w:i/>
                <w:color w:val="000000"/>
                <w:sz w:val="18"/>
                <w:szCs w:val="18"/>
                <w:bdr w:val="none" w:sz="0" w:space="0" w:color="auto"/>
              </w:rPr>
              <w:t>in a modal window or expandable area if necessary</w:t>
            </w:r>
            <w:r w:rsidR="00654FBB" w:rsidRPr="005775F2">
              <w:rPr>
                <w:rFonts w:ascii="Calibri" w:eastAsia="Times New Roman" w:hAnsi="Calibri"/>
                <w:i/>
                <w:color w:val="000000"/>
                <w:sz w:val="18"/>
                <w:szCs w:val="18"/>
                <w:bdr w:val="none" w:sz="0" w:space="0" w:color="auto"/>
              </w:rPr>
              <w:t>)</w:t>
            </w:r>
          </w:p>
        </w:tc>
      </w:tr>
      <w:tr w:rsidR="003F715E" w14:paraId="147AEBBA" w14:textId="77777777" w:rsidTr="00235AEF">
        <w:tc>
          <w:tcPr>
            <w:tcW w:w="3595" w:type="dxa"/>
          </w:tcPr>
          <w:p w14:paraId="2EFD778A" w14:textId="77777777" w:rsidR="003F715E" w:rsidRPr="003F715E" w:rsidRDefault="003F715E" w:rsidP="00235AEF">
            <w:pPr>
              <w:pStyle w:val="ListParagraph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</w:pPr>
            <w:r w:rsidRPr="003F715E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 xml:space="preserve">Award-winning </w:t>
            </w:r>
          </w:p>
          <w:p w14:paraId="4CDFA839" w14:textId="77777777" w:rsidR="003F715E" w:rsidRPr="003F715E" w:rsidRDefault="003F715E" w:rsidP="00235AEF">
            <w:pPr>
              <w:pStyle w:val="ListParagraph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</w:pPr>
            <w:r w:rsidRPr="003F715E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>Targeting decision-makers and unlimited content</w:t>
            </w:r>
          </w:p>
          <w:p w14:paraId="3B456A4C" w14:textId="77777777" w:rsidR="003F715E" w:rsidRPr="003F715E" w:rsidRDefault="003F715E" w:rsidP="00235AEF">
            <w:pPr>
              <w:pStyle w:val="ListParagraph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</w:pPr>
            <w:r w:rsidRPr="003F715E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 xml:space="preserve">Key topics: Business, Tech, Markets, Politics, Luxury </w:t>
            </w:r>
          </w:p>
          <w:p w14:paraId="710BCC69" w14:textId="77777777" w:rsidR="003F715E" w:rsidRPr="003F715E" w:rsidRDefault="003F715E" w:rsidP="00235AEF">
            <w:pPr>
              <w:pStyle w:val="ListParagraph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</w:pPr>
            <w:r w:rsidRPr="003F715E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>Style: immersive, concise, data-viz, video</w:t>
            </w:r>
          </w:p>
          <w:p w14:paraId="6CADBA13" w14:textId="77777777" w:rsidR="003F715E" w:rsidRPr="003F715E" w:rsidRDefault="003F715E" w:rsidP="00235A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5755" w:type="dxa"/>
          </w:tcPr>
          <w:p w14:paraId="5FC85453" w14:textId="77777777" w:rsidR="003F715E" w:rsidRPr="003F715E" w:rsidRDefault="003F715E" w:rsidP="00235AEF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</w:pPr>
            <w:r w:rsidRPr="003F715E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 xml:space="preserve">The App – Bloomberg? Portfolio-tracking tools, market data. Maybe highlight this first since we know users are leaving the Subscribe page to go to market pages. </w:t>
            </w:r>
          </w:p>
          <w:p w14:paraId="2357E3DF" w14:textId="77777777" w:rsidR="003F715E" w:rsidRPr="003F715E" w:rsidRDefault="003F715E" w:rsidP="00235AEF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</w:pPr>
            <w:r w:rsidRPr="003F715E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>Live-streaming, podcasts (TicToc, OddLots, Bloomberg Surveillance, Trillions, Decrypted, Masters in Business), live radio, text-to-voice (play on the go with a tap of a button), live events and networking</w:t>
            </w:r>
          </w:p>
          <w:p w14:paraId="7DCDB52E" w14:textId="77777777" w:rsidR="003F715E" w:rsidRPr="003F715E" w:rsidRDefault="003F715E" w:rsidP="00235AEF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</w:pPr>
            <w:r w:rsidRPr="003F715E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>Businessweek: .com, app, magazine (this is not highlighted in the Businessweek subscription offer—make this clear)</w:t>
            </w:r>
          </w:p>
          <w:p w14:paraId="57AC9760" w14:textId="77777777" w:rsidR="003F715E" w:rsidRPr="003F715E" w:rsidRDefault="003F715E" w:rsidP="00235AEF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</w:pPr>
            <w:r w:rsidRPr="003F715E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>TV – 24-hr coverage in every market around the world, business leaders</w:t>
            </w:r>
          </w:p>
          <w:p w14:paraId="13382CD9" w14:textId="77777777" w:rsidR="003F715E" w:rsidRPr="003F715E" w:rsidRDefault="003F715E" w:rsidP="00235AEF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</w:pPr>
            <w:r w:rsidRPr="003F715E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>Exclusive events –in-person and live-streaming</w:t>
            </w:r>
          </w:p>
          <w:p w14:paraId="6D1D34AE" w14:textId="77777777" w:rsidR="003F715E" w:rsidRPr="003F715E" w:rsidRDefault="003F715E" w:rsidP="00235AEF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</w:pPr>
            <w:r w:rsidRPr="003F715E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/>
              </w:rPr>
              <w:t>Newsletters</w:t>
            </w:r>
          </w:p>
        </w:tc>
      </w:tr>
    </w:tbl>
    <w:p w14:paraId="2A3A6A07" w14:textId="77777777" w:rsidR="003F715E" w:rsidRDefault="003F715E" w:rsidP="003F71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</w:p>
    <w:p w14:paraId="1E026AEF" w14:textId="72C7A523" w:rsidR="003F715E" w:rsidRPr="00112C1E" w:rsidRDefault="003F715E" w:rsidP="003F71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Note that the global nav of this page </w:t>
      </w:r>
      <w:r w:rsidR="00EF56F2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shows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Subscribe </w:t>
      </w:r>
      <w:r w:rsidR="00EF56F2"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>as selected, instead</w:t>
      </w:r>
      <w: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  <w:t xml:space="preserve"> of What You Get, which is confusing. </w:t>
      </w:r>
    </w:p>
    <w:p w14:paraId="7E32232A" w14:textId="77777777" w:rsidR="003F715E" w:rsidRDefault="003F715E" w:rsidP="000F3B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</w:p>
    <w:p w14:paraId="489F3750" w14:textId="77777777" w:rsidR="000F3B62" w:rsidRDefault="000F3B62" w:rsidP="008355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000000"/>
          <w:sz w:val="22"/>
          <w:szCs w:val="22"/>
          <w:bdr w:val="none" w:sz="0" w:space="0" w:color="auto"/>
        </w:rPr>
      </w:pPr>
    </w:p>
    <w:p w14:paraId="358AE6AA" w14:textId="2CBFE0C6" w:rsidR="000F3B62" w:rsidRDefault="000F3B62" w:rsidP="00357693">
      <w:pPr>
        <w:pStyle w:val="Heading2"/>
        <w:rPr>
          <w:rFonts w:eastAsia="Times New Roman"/>
          <w:bdr w:val="none" w:sz="0" w:space="0" w:color="auto"/>
        </w:rPr>
      </w:pPr>
      <w:bookmarkStart w:id="2" w:name="_Sign_up"/>
      <w:bookmarkEnd w:id="2"/>
      <w:r>
        <w:rPr>
          <w:rFonts w:eastAsia="Times New Roman"/>
          <w:bdr w:val="none" w:sz="0" w:space="0" w:color="auto"/>
        </w:rPr>
        <w:t>Sign up</w:t>
      </w:r>
    </w:p>
    <w:p w14:paraId="0085D2A1" w14:textId="77777777" w:rsidR="006F6987" w:rsidRDefault="006F6987" w:rsidP="008355AB">
      <w:pPr>
        <w:pStyle w:val="Default"/>
        <w:rPr>
          <w:rFonts w:ascii="Calibri" w:eastAsia="Calibri" w:hAnsi="Calibri" w:cs="Calibri"/>
          <w:color w:val="12BF0D"/>
          <w:sz w:val="29"/>
          <w:szCs w:val="29"/>
        </w:rPr>
      </w:pPr>
    </w:p>
    <w:p w14:paraId="508A47C3" w14:textId="062D5DE6" w:rsidR="000F3B62" w:rsidRDefault="0007447E" w:rsidP="008355AB">
      <w:pPr>
        <w:pStyle w:val="Default"/>
        <w:rPr>
          <w:rFonts w:ascii="Calibri" w:eastAsia="Times New Roman" w:hAnsi="Calibri"/>
          <w:bdr w:val="none" w:sz="0" w:space="0" w:color="auto"/>
        </w:rPr>
      </w:pPr>
      <w:r>
        <w:rPr>
          <w:rFonts w:ascii="Calibri" w:eastAsia="Times New Roman" w:hAnsi="Calibri"/>
          <w:bdr w:val="none" w:sz="0" w:space="0" w:color="auto"/>
        </w:rPr>
        <w:t xml:space="preserve">This page does not communicate very well that the user is entering a payment path. The “sign in” elements stand out the most, as </w:t>
      </w:r>
      <w:r w:rsidR="00000648">
        <w:rPr>
          <w:rFonts w:ascii="Calibri" w:eastAsia="Times New Roman" w:hAnsi="Calibri"/>
          <w:bdr w:val="none" w:sz="0" w:space="0" w:color="auto"/>
        </w:rPr>
        <w:t>they</w:t>
      </w:r>
      <w:r>
        <w:rPr>
          <w:rFonts w:ascii="Calibri" w:eastAsia="Times New Roman" w:hAnsi="Calibri"/>
          <w:bdr w:val="none" w:sz="0" w:space="0" w:color="auto"/>
        </w:rPr>
        <w:t xml:space="preserve"> take up the most space, </w:t>
      </w:r>
      <w:r w:rsidR="00000648">
        <w:rPr>
          <w:rFonts w:ascii="Calibri" w:eastAsia="Times New Roman" w:hAnsi="Calibri"/>
          <w:bdr w:val="none" w:sz="0" w:space="0" w:color="auto"/>
        </w:rPr>
        <w:t xml:space="preserve">and the phrase itself is stated four times, </w:t>
      </w:r>
      <w:r>
        <w:rPr>
          <w:rFonts w:ascii="Calibri" w:eastAsia="Times New Roman" w:hAnsi="Calibri"/>
          <w:bdr w:val="none" w:sz="0" w:space="0" w:color="auto"/>
        </w:rPr>
        <w:t>so at a glance</w:t>
      </w:r>
      <w:r w:rsidR="00000648">
        <w:rPr>
          <w:rFonts w:ascii="Calibri" w:eastAsia="Times New Roman" w:hAnsi="Calibri"/>
          <w:bdr w:val="none" w:sz="0" w:space="0" w:color="auto"/>
        </w:rPr>
        <w:t>,</w:t>
      </w:r>
      <w:r>
        <w:rPr>
          <w:rFonts w:ascii="Calibri" w:eastAsia="Times New Roman" w:hAnsi="Calibri"/>
          <w:bdr w:val="none" w:sz="0" w:space="0" w:color="auto"/>
        </w:rPr>
        <w:t xml:space="preserve"> it looks like a </w:t>
      </w:r>
      <w:r w:rsidR="00000648">
        <w:rPr>
          <w:rFonts w:ascii="Calibri" w:eastAsia="Times New Roman" w:hAnsi="Calibri"/>
          <w:bdr w:val="none" w:sz="0" w:space="0" w:color="auto"/>
        </w:rPr>
        <w:t>sign</w:t>
      </w:r>
      <w:r>
        <w:rPr>
          <w:rFonts w:ascii="Calibri" w:eastAsia="Times New Roman" w:hAnsi="Calibri"/>
          <w:bdr w:val="none" w:sz="0" w:space="0" w:color="auto"/>
        </w:rPr>
        <w:t xml:space="preserve"> in screen and therefore an error</w:t>
      </w:r>
      <w:r w:rsidR="00000648">
        <w:rPr>
          <w:rFonts w:ascii="Calibri" w:eastAsia="Times New Roman" w:hAnsi="Calibri"/>
          <w:bdr w:val="none" w:sz="0" w:space="0" w:color="auto"/>
        </w:rPr>
        <w:t xml:space="preserve"> to land here. The C</w:t>
      </w:r>
      <w:r>
        <w:rPr>
          <w:rFonts w:ascii="Calibri" w:eastAsia="Times New Roman" w:hAnsi="Calibri"/>
          <w:bdr w:val="none" w:sz="0" w:space="0" w:color="auto"/>
        </w:rPr>
        <w:t xml:space="preserve">reate an </w:t>
      </w:r>
      <w:r w:rsidR="00000648">
        <w:rPr>
          <w:rFonts w:ascii="Calibri" w:eastAsia="Times New Roman" w:hAnsi="Calibri"/>
          <w:bdr w:val="none" w:sz="0" w:space="0" w:color="auto"/>
        </w:rPr>
        <w:t>A</w:t>
      </w:r>
      <w:r>
        <w:rPr>
          <w:rFonts w:ascii="Calibri" w:eastAsia="Times New Roman" w:hAnsi="Calibri"/>
          <w:bdr w:val="none" w:sz="0" w:space="0" w:color="auto"/>
        </w:rPr>
        <w:t>ccount</w:t>
      </w:r>
      <w:r w:rsidR="00000648">
        <w:rPr>
          <w:rFonts w:ascii="Calibri" w:eastAsia="Times New Roman" w:hAnsi="Calibri"/>
          <w:bdr w:val="none" w:sz="0" w:space="0" w:color="auto"/>
        </w:rPr>
        <w:t xml:space="preserve"> function</w:t>
      </w:r>
      <w:r>
        <w:rPr>
          <w:rFonts w:ascii="Calibri" w:eastAsia="Times New Roman" w:hAnsi="Calibri"/>
          <w:bdr w:val="none" w:sz="0" w:space="0" w:color="auto"/>
        </w:rPr>
        <w:t xml:space="preserve"> is visually downplayed with one e-mail field only, and both the subscript</w:t>
      </w:r>
      <w:r w:rsidR="00000648">
        <w:rPr>
          <w:rFonts w:ascii="Calibri" w:eastAsia="Times New Roman" w:hAnsi="Calibri"/>
          <w:bdr w:val="none" w:sz="0" w:space="0" w:color="auto"/>
        </w:rPr>
        <w:t xml:space="preserve">ion selection confirmation bar </w:t>
      </w:r>
      <w:r>
        <w:rPr>
          <w:rFonts w:ascii="Calibri" w:eastAsia="Times New Roman" w:hAnsi="Calibri"/>
          <w:bdr w:val="none" w:sz="0" w:space="0" w:color="auto"/>
        </w:rPr>
        <w:t xml:space="preserve">as well as the tiny subscription selection text on the right are easily missed. </w:t>
      </w:r>
    </w:p>
    <w:p w14:paraId="238623E6" w14:textId="77777777" w:rsidR="00000648" w:rsidRDefault="00000648" w:rsidP="008355AB">
      <w:pPr>
        <w:pStyle w:val="Default"/>
        <w:rPr>
          <w:rFonts w:ascii="Calibri" w:eastAsia="Times New Roman" w:hAnsi="Calibri"/>
          <w:bdr w:val="none" w:sz="0" w:space="0" w:color="auto"/>
        </w:rPr>
      </w:pPr>
    </w:p>
    <w:p w14:paraId="6C1BE374" w14:textId="408AA653" w:rsidR="00000648" w:rsidRDefault="00000648" w:rsidP="008355AB">
      <w:pPr>
        <w:pStyle w:val="Default"/>
        <w:rPr>
          <w:rFonts w:ascii="Calibri" w:eastAsia="Calibri" w:hAnsi="Calibri" w:cs="Calibri"/>
          <w:color w:val="12BF0D"/>
          <w:sz w:val="29"/>
          <w:szCs w:val="29"/>
        </w:rPr>
      </w:pPr>
      <w:r>
        <w:rPr>
          <w:rFonts w:ascii="Calibri" w:eastAsia="Times New Roman" w:hAnsi="Calibri"/>
          <w:bdr w:val="none" w:sz="0" w:space="0" w:color="auto"/>
        </w:rPr>
        <w:lastRenderedPageBreak/>
        <w:t xml:space="preserve">If a sign in/ sign up need to be the same screen, the two options should be very clearly separated and labeled. See the competitive designs included in </w:t>
      </w:r>
      <w:hyperlink w:anchor="_Competitive_Subscription_Paths" w:history="1">
        <w:r w:rsidRPr="00000648">
          <w:rPr>
            <w:rStyle w:val="Hyperlink"/>
            <w:rFonts w:ascii="Calibri" w:eastAsia="Times New Roman" w:hAnsi="Calibri"/>
            <w:bdr w:val="none" w:sz="0" w:space="0" w:color="auto"/>
          </w:rPr>
          <w:t>The Competitive Subscription Paths and Strategies</w:t>
        </w:r>
      </w:hyperlink>
      <w:r>
        <w:rPr>
          <w:rFonts w:ascii="Calibri" w:eastAsia="Times New Roman" w:hAnsi="Calibri"/>
          <w:bdr w:val="none" w:sz="0" w:space="0" w:color="auto"/>
        </w:rPr>
        <w:t xml:space="preserve"> section for best practices, including a design that better indicates an order/ shopping cart area. </w:t>
      </w:r>
    </w:p>
    <w:p w14:paraId="28C44264" w14:textId="77777777" w:rsidR="00D55393" w:rsidRPr="00045586" w:rsidRDefault="00D55393" w:rsidP="008355AB">
      <w:pPr>
        <w:pStyle w:val="Default"/>
        <w:rPr>
          <w:rFonts w:ascii="Times New Roman" w:eastAsia="Times New Roman" w:hAnsi="Times New Roman" w:cs="Times New Roman"/>
        </w:rPr>
      </w:pPr>
    </w:p>
    <w:p w14:paraId="217D9DB4" w14:textId="77777777" w:rsidR="00D55393" w:rsidRDefault="00D55393" w:rsidP="008355AB">
      <w:pPr>
        <w:pStyle w:val="Default"/>
      </w:pPr>
    </w:p>
    <w:p w14:paraId="74CCA2E3" w14:textId="1A6BCB37" w:rsidR="00455C0B" w:rsidRDefault="00455C0B" w:rsidP="00455C0B">
      <w:pPr>
        <w:pStyle w:val="Heading2"/>
        <w:rPr>
          <w:rFonts w:eastAsia="Times New Roman"/>
          <w:bdr w:val="none" w:sz="0" w:space="0" w:color="auto"/>
        </w:rPr>
      </w:pPr>
      <w:r>
        <w:rPr>
          <w:rFonts w:eastAsia="Times New Roman"/>
          <w:bdr w:val="none" w:sz="0" w:space="0" w:color="auto"/>
        </w:rPr>
        <w:t>Other Pages</w:t>
      </w:r>
    </w:p>
    <w:p w14:paraId="61FAFD19" w14:textId="77777777" w:rsidR="00455C0B" w:rsidRDefault="00455C0B" w:rsidP="008355AB">
      <w:pPr>
        <w:pStyle w:val="Default"/>
      </w:pPr>
    </w:p>
    <w:p w14:paraId="580F5282" w14:textId="0A97FF84" w:rsidR="00455C0B" w:rsidRDefault="00455C0B" w:rsidP="008355AB">
      <w:pPr>
        <w:pStyle w:val="Default"/>
      </w:pPr>
      <w:r>
        <w:rPr>
          <w:rFonts w:ascii="Calibri" w:eastAsia="Times New Roman" w:hAnsi="Calibri"/>
          <w:bdr w:val="none" w:sz="0" w:space="0" w:color="auto"/>
        </w:rPr>
        <w:t xml:space="preserve">Consider incorporating subscribe CTAs on the </w:t>
      </w:r>
      <w:r>
        <w:rPr>
          <w:rFonts w:ascii="Calibri" w:eastAsia="Calibri" w:hAnsi="Calibri" w:cs="Calibri"/>
        </w:rPr>
        <w:t>Content Group Market and Content Group Quote pages</w:t>
      </w:r>
      <w:r>
        <w:rPr>
          <w:rFonts w:ascii="Calibri" w:eastAsia="Calibri" w:hAnsi="Calibri" w:cs="Calibri"/>
        </w:rPr>
        <w:t xml:space="preserve">, as we know users are navigating to these pages after leaving the subscribe path. Encountering CTAs with </w:t>
      </w:r>
      <w:r>
        <w:rPr>
          <w:rFonts w:ascii="Calibri" w:eastAsia="Times New Roman" w:hAnsi="Calibri"/>
          <w:bdr w:val="none" w:sz="0" w:space="0" w:color="auto"/>
        </w:rPr>
        <w:t xml:space="preserve">rotating featured </w:t>
      </w:r>
      <w:r>
        <w:rPr>
          <w:rFonts w:ascii="Calibri" w:eastAsia="Times New Roman" w:hAnsi="Calibri"/>
          <w:bdr w:val="none" w:sz="0" w:space="0" w:color="auto"/>
        </w:rPr>
        <w:t xml:space="preserve">(and possibly unexpected) </w:t>
      </w:r>
      <w:bookmarkStart w:id="3" w:name="_GoBack"/>
      <w:bookmarkEnd w:id="3"/>
      <w:r>
        <w:rPr>
          <w:rFonts w:ascii="Calibri" w:eastAsia="Times New Roman" w:hAnsi="Calibri"/>
          <w:bdr w:val="none" w:sz="0" w:space="0" w:color="auto"/>
        </w:rPr>
        <w:t xml:space="preserve">offer components—the app, live events, </w:t>
      </w:r>
      <w:r>
        <w:rPr>
          <w:rFonts w:ascii="Calibri" w:eastAsia="Times New Roman" w:hAnsi="Calibri"/>
          <w:bdr w:val="none" w:sz="0" w:space="0" w:color="auto"/>
        </w:rPr>
        <w:t xml:space="preserve">etc.—may help build interest over time in the offer for repeat visitors. </w:t>
      </w:r>
    </w:p>
    <w:sectPr w:rsidR="00455C0B" w:rsidSect="00105DA7">
      <w:headerReference w:type="default" r:id="rId23"/>
      <w:footerReference w:type="even" r:id="rId24"/>
      <w:footerReference w:type="default" r:id="rId25"/>
      <w:pgSz w:w="12240" w:h="15840"/>
      <w:pgMar w:top="1440" w:right="1440" w:bottom="1440" w:left="1440" w:header="720" w:footer="86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8CF3B8" w14:textId="77777777" w:rsidR="00DB5D8B" w:rsidRDefault="00DB5D8B">
      <w:r>
        <w:separator/>
      </w:r>
    </w:p>
  </w:endnote>
  <w:endnote w:type="continuationSeparator" w:id="0">
    <w:p w14:paraId="052CF210" w14:textId="77777777" w:rsidR="00DB5D8B" w:rsidRDefault="00DB5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72460" w14:textId="77777777" w:rsidR="00105DA7" w:rsidRDefault="00105DA7" w:rsidP="006248E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72E851" w14:textId="77777777" w:rsidR="00105DA7" w:rsidRDefault="00105DA7" w:rsidP="00105DA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B2C27" w14:textId="77777777" w:rsidR="00105DA7" w:rsidRDefault="00105DA7" w:rsidP="006248E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55C0B">
      <w:rPr>
        <w:rStyle w:val="PageNumber"/>
        <w:noProof/>
      </w:rPr>
      <w:t>13</w:t>
    </w:r>
    <w:r>
      <w:rPr>
        <w:rStyle w:val="PageNumber"/>
      </w:rPr>
      <w:fldChar w:fldCharType="end"/>
    </w:r>
  </w:p>
  <w:p w14:paraId="07162F08" w14:textId="77777777" w:rsidR="00D55393" w:rsidRDefault="00D55393" w:rsidP="00105DA7">
    <w:pPr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FDC41F" w14:textId="77777777" w:rsidR="00DB5D8B" w:rsidRDefault="00DB5D8B">
      <w:r>
        <w:separator/>
      </w:r>
    </w:p>
  </w:footnote>
  <w:footnote w:type="continuationSeparator" w:id="0">
    <w:p w14:paraId="4A20E59A" w14:textId="77777777" w:rsidR="00DB5D8B" w:rsidRDefault="00DB5D8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FBDE5" w14:textId="77777777" w:rsidR="00D55393" w:rsidRDefault="00D55393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B6146"/>
    <w:multiLevelType w:val="hybridMultilevel"/>
    <w:tmpl w:val="2932AC94"/>
    <w:styleLink w:val="Bullet"/>
    <w:lvl w:ilvl="0" w:tplc="1CF07C16">
      <w:start w:val="1"/>
      <w:numFmt w:val="bullet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C5AE460A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48C6291E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BE08CA70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50E2708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C7F22346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9DC00B4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674C6364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7230FD44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>
    <w:nsid w:val="05A375C0"/>
    <w:multiLevelType w:val="hybridMultilevel"/>
    <w:tmpl w:val="4A2273DA"/>
    <w:styleLink w:val="Dash"/>
    <w:lvl w:ilvl="0" w:tplc="0E82D2FA">
      <w:start w:val="1"/>
      <w:numFmt w:val="bullet"/>
      <w:lvlText w:val="-"/>
      <w:lvlJc w:val="left"/>
      <w:pPr>
        <w:tabs>
          <w:tab w:val="num" w:pos="982"/>
        </w:tabs>
        <w:ind w:left="1342" w:hanging="6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7F66E21C">
      <w:start w:val="1"/>
      <w:numFmt w:val="bullet"/>
      <w:suff w:val="nothing"/>
      <w:lvlText w:val="-"/>
      <w:lvlJc w:val="left"/>
      <w:pPr>
        <w:ind w:left="-360" w:firstLine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7E4556">
      <w:start w:val="1"/>
      <w:numFmt w:val="bullet"/>
      <w:suff w:val="nothing"/>
      <w:lvlText w:val="-"/>
      <w:lvlJc w:val="left"/>
      <w:pPr>
        <w:ind w:left="360" w:firstLine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62DC0CD2">
      <w:start w:val="1"/>
      <w:numFmt w:val="bullet"/>
      <w:suff w:val="nothing"/>
      <w:lvlText w:val="-"/>
      <w:lvlJc w:val="left"/>
      <w:pPr>
        <w:ind w:left="360" w:firstLine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41408830">
      <w:start w:val="1"/>
      <w:numFmt w:val="bullet"/>
      <w:suff w:val="nothing"/>
      <w:lvlText w:val="-"/>
      <w:lvlJc w:val="left"/>
      <w:pPr>
        <w:ind w:left="360" w:firstLine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2FA07CC6">
      <w:start w:val="1"/>
      <w:numFmt w:val="bullet"/>
      <w:suff w:val="nothing"/>
      <w:lvlText w:val="-"/>
      <w:lvlJc w:val="left"/>
      <w:pPr>
        <w:ind w:left="360" w:firstLine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51E67F22">
      <w:start w:val="1"/>
      <w:numFmt w:val="bullet"/>
      <w:suff w:val="nothing"/>
      <w:lvlText w:val="-"/>
      <w:lvlJc w:val="left"/>
      <w:pPr>
        <w:ind w:left="360" w:firstLine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A77EFC22">
      <w:start w:val="1"/>
      <w:numFmt w:val="bullet"/>
      <w:suff w:val="nothing"/>
      <w:lvlText w:val="-"/>
      <w:lvlJc w:val="left"/>
      <w:pPr>
        <w:ind w:left="360" w:firstLine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3000F254">
      <w:start w:val="1"/>
      <w:numFmt w:val="bullet"/>
      <w:suff w:val="nothing"/>
      <w:lvlText w:val="-"/>
      <w:lvlJc w:val="left"/>
      <w:pPr>
        <w:ind w:left="360" w:firstLine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0FDF0D32"/>
    <w:multiLevelType w:val="multilevel"/>
    <w:tmpl w:val="DE4218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164415"/>
    <w:multiLevelType w:val="multilevel"/>
    <w:tmpl w:val="41664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1669C2"/>
    <w:multiLevelType w:val="hybridMultilevel"/>
    <w:tmpl w:val="FDB4A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EF4646"/>
    <w:multiLevelType w:val="hybridMultilevel"/>
    <w:tmpl w:val="4A2273DA"/>
    <w:numStyleLink w:val="Dash"/>
  </w:abstractNum>
  <w:abstractNum w:abstractNumId="6">
    <w:nsid w:val="6BC23689"/>
    <w:multiLevelType w:val="hybridMultilevel"/>
    <w:tmpl w:val="A55AE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4E3DBE"/>
    <w:multiLevelType w:val="multilevel"/>
    <w:tmpl w:val="A028A3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6D7F4C"/>
    <w:multiLevelType w:val="hybridMultilevel"/>
    <w:tmpl w:val="2932AC94"/>
    <w:numStyleLink w:val="Bullet"/>
  </w:abstractNum>
  <w:abstractNum w:abstractNumId="9">
    <w:nsid w:val="71453295"/>
    <w:multiLevelType w:val="multilevel"/>
    <w:tmpl w:val="5DE0DE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8"/>
    <w:lvlOverride w:ilvl="0">
      <w:lvl w:ilvl="0" w:tplc="492EDF26">
        <w:start w:val="1"/>
        <w:numFmt w:val="bullet"/>
        <w:lvlText w:val="•"/>
        <w:lvlJc w:val="left"/>
        <w:pPr>
          <w:ind w:left="196" w:hanging="19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3938AC0C">
        <w:start w:val="1"/>
        <w:numFmt w:val="bullet"/>
        <w:suff w:val="nothing"/>
        <w:lvlText w:val="o"/>
        <w:lvlJc w:val="left"/>
        <w:pPr>
          <w:ind w:left="360" w:firstLine="72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BA283D58">
        <w:start w:val="1"/>
        <w:numFmt w:val="bullet"/>
        <w:suff w:val="nothing"/>
        <w:lvlText w:val="o"/>
        <w:lvlJc w:val="left"/>
        <w:pPr>
          <w:ind w:left="360" w:firstLine="72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C79E8244">
        <w:start w:val="1"/>
        <w:numFmt w:val="bullet"/>
        <w:suff w:val="nothing"/>
        <w:lvlText w:val="o"/>
        <w:lvlJc w:val="left"/>
        <w:pPr>
          <w:ind w:left="360" w:firstLine="72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E1F61F20">
        <w:start w:val="1"/>
        <w:numFmt w:val="bullet"/>
        <w:suff w:val="nothing"/>
        <w:lvlText w:val="o"/>
        <w:lvlJc w:val="left"/>
        <w:pPr>
          <w:ind w:left="360" w:firstLine="72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77EE5FDE">
        <w:start w:val="1"/>
        <w:numFmt w:val="bullet"/>
        <w:suff w:val="nothing"/>
        <w:lvlText w:val="o"/>
        <w:lvlJc w:val="left"/>
        <w:pPr>
          <w:ind w:left="360" w:firstLine="72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56324846">
        <w:start w:val="1"/>
        <w:numFmt w:val="bullet"/>
        <w:suff w:val="nothing"/>
        <w:lvlText w:val="o"/>
        <w:lvlJc w:val="left"/>
        <w:pPr>
          <w:ind w:left="360" w:firstLine="72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10167E10">
        <w:start w:val="1"/>
        <w:numFmt w:val="bullet"/>
        <w:suff w:val="nothing"/>
        <w:lvlText w:val="o"/>
        <w:lvlJc w:val="left"/>
        <w:pPr>
          <w:ind w:left="360" w:firstLine="72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903007BA">
        <w:start w:val="1"/>
        <w:numFmt w:val="bullet"/>
        <w:suff w:val="nothing"/>
        <w:lvlText w:val="o"/>
        <w:lvlJc w:val="left"/>
        <w:pPr>
          <w:ind w:left="360" w:firstLine="72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">
    <w:abstractNumId w:val="1"/>
  </w:num>
  <w:num w:numId="5">
    <w:abstractNumId w:val="5"/>
    <w:lvlOverride w:ilvl="1">
      <w:lvl w:ilvl="1" w:tplc="FF18C0AE">
        <w:start w:val="1"/>
        <w:numFmt w:val="bullet"/>
        <w:suff w:val="nothing"/>
        <w:lvlText w:val="-"/>
        <w:lvlJc w:val="left"/>
        <w:pPr>
          <w:ind w:left="360" w:firstLine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6">
    <w:abstractNumId w:val="5"/>
    <w:lvlOverride w:ilvl="0">
      <w:lvl w:ilvl="0" w:tplc="C24219FA">
        <w:start w:val="1"/>
        <w:numFmt w:val="bullet"/>
        <w:lvlText w:val="-"/>
        <w:lvlJc w:val="left"/>
        <w:pPr>
          <w:tabs>
            <w:tab w:val="num" w:pos="982"/>
          </w:tabs>
          <w:ind w:left="1342" w:hanging="62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 w:tplc="FF18C0AE">
        <w:start w:val="1"/>
        <w:numFmt w:val="bullet"/>
        <w:suff w:val="nothing"/>
        <w:lvlText w:val="-"/>
        <w:lvlJc w:val="left"/>
        <w:pPr>
          <w:ind w:left="360" w:firstLine="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2">
      <w:lvl w:ilvl="2" w:tplc="59849EC2">
        <w:start w:val="1"/>
        <w:numFmt w:val="bullet"/>
        <w:suff w:val="nothing"/>
        <w:lvlText w:val="-"/>
        <w:lvlJc w:val="left"/>
        <w:pPr>
          <w:ind w:left="360" w:firstLine="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 w:tplc="1586143E">
        <w:start w:val="1"/>
        <w:numFmt w:val="bullet"/>
        <w:suff w:val="nothing"/>
        <w:lvlText w:val="-"/>
        <w:lvlJc w:val="left"/>
        <w:pPr>
          <w:ind w:left="360" w:firstLine="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4">
      <w:lvl w:ilvl="4" w:tplc="EBEC7342">
        <w:start w:val="1"/>
        <w:numFmt w:val="bullet"/>
        <w:suff w:val="nothing"/>
        <w:lvlText w:val="-"/>
        <w:lvlJc w:val="left"/>
        <w:pPr>
          <w:ind w:left="360" w:firstLine="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 w:tplc="2B4C6B2C">
        <w:start w:val="1"/>
        <w:numFmt w:val="bullet"/>
        <w:suff w:val="nothing"/>
        <w:lvlText w:val="-"/>
        <w:lvlJc w:val="left"/>
        <w:pPr>
          <w:ind w:left="360" w:firstLine="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6">
      <w:lvl w:ilvl="6" w:tplc="FB7ECEAC">
        <w:start w:val="1"/>
        <w:numFmt w:val="bullet"/>
        <w:suff w:val="nothing"/>
        <w:lvlText w:val="-"/>
        <w:lvlJc w:val="left"/>
        <w:pPr>
          <w:ind w:left="360" w:firstLine="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 w:tplc="567437BC">
        <w:start w:val="1"/>
        <w:numFmt w:val="bullet"/>
        <w:suff w:val="nothing"/>
        <w:lvlText w:val="-"/>
        <w:lvlJc w:val="left"/>
        <w:pPr>
          <w:ind w:left="360" w:firstLine="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8">
      <w:lvl w:ilvl="8" w:tplc="77D81840">
        <w:start w:val="1"/>
        <w:numFmt w:val="bullet"/>
        <w:suff w:val="nothing"/>
        <w:lvlText w:val="-"/>
        <w:lvlJc w:val="left"/>
        <w:pPr>
          <w:ind w:left="360" w:firstLine="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7">
    <w:abstractNumId w:val="8"/>
    <w:lvlOverride w:ilvl="0">
      <w:lvl w:ilvl="0" w:tplc="492EDF26">
        <w:start w:val="1"/>
        <w:numFmt w:val="bullet"/>
        <w:lvlText w:val="•"/>
        <w:lvlJc w:val="left"/>
        <w:pPr>
          <w:ind w:left="196" w:hanging="19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3938AC0C">
        <w:start w:val="1"/>
        <w:numFmt w:val="bullet"/>
        <w:suff w:val="nothing"/>
        <w:lvlText w:val="o"/>
        <w:lvlJc w:val="left"/>
        <w:pPr>
          <w:ind w:left="-360" w:firstLine="72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BA283D58">
        <w:start w:val="1"/>
        <w:numFmt w:val="bullet"/>
        <w:suff w:val="nothing"/>
        <w:lvlText w:val="o"/>
        <w:lvlJc w:val="left"/>
        <w:pPr>
          <w:ind w:left="-360" w:firstLine="72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C79E8244">
        <w:start w:val="1"/>
        <w:numFmt w:val="bullet"/>
        <w:suff w:val="nothing"/>
        <w:lvlText w:val="o"/>
        <w:lvlJc w:val="left"/>
        <w:pPr>
          <w:ind w:left="-360" w:firstLine="72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E1F61F20">
        <w:start w:val="1"/>
        <w:numFmt w:val="bullet"/>
        <w:suff w:val="nothing"/>
        <w:lvlText w:val="o"/>
        <w:lvlJc w:val="left"/>
        <w:pPr>
          <w:ind w:left="-360" w:firstLine="72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77EE5FDE">
        <w:start w:val="1"/>
        <w:numFmt w:val="bullet"/>
        <w:suff w:val="nothing"/>
        <w:lvlText w:val="o"/>
        <w:lvlJc w:val="left"/>
        <w:pPr>
          <w:ind w:left="-360" w:firstLine="72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56324846">
        <w:start w:val="1"/>
        <w:numFmt w:val="bullet"/>
        <w:suff w:val="nothing"/>
        <w:lvlText w:val="o"/>
        <w:lvlJc w:val="left"/>
        <w:pPr>
          <w:ind w:left="-360" w:firstLine="72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10167E10">
        <w:start w:val="1"/>
        <w:numFmt w:val="bullet"/>
        <w:suff w:val="nothing"/>
        <w:lvlText w:val="o"/>
        <w:lvlJc w:val="left"/>
        <w:pPr>
          <w:ind w:left="-360" w:firstLine="72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903007BA">
        <w:start w:val="1"/>
        <w:numFmt w:val="bullet"/>
        <w:suff w:val="nothing"/>
        <w:lvlText w:val="o"/>
        <w:lvlJc w:val="left"/>
        <w:pPr>
          <w:ind w:left="-360" w:firstLine="72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8">
    <w:abstractNumId w:val="5"/>
    <w:lvlOverride w:ilvl="0">
      <w:lvl w:ilvl="0" w:tplc="C24219FA">
        <w:start w:val="1"/>
        <w:numFmt w:val="bullet"/>
        <w:lvlText w:val="-"/>
        <w:lvlJc w:val="left"/>
        <w:pPr>
          <w:ind w:left="39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1">
      <w:lvl w:ilvl="1" w:tplc="FF18C0AE">
        <w:start w:val="1"/>
        <w:numFmt w:val="bullet"/>
        <w:lvlText w:val="-"/>
        <w:lvlJc w:val="left"/>
        <w:pPr>
          <w:ind w:left="545" w:hanging="30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2">
      <w:lvl w:ilvl="2" w:tplc="59849EC2">
        <w:start w:val="1"/>
        <w:numFmt w:val="bullet"/>
        <w:lvlText w:val="-"/>
        <w:lvlJc w:val="left"/>
        <w:pPr>
          <w:ind w:left="785" w:hanging="30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3">
      <w:lvl w:ilvl="3" w:tplc="1586143E">
        <w:start w:val="1"/>
        <w:numFmt w:val="bullet"/>
        <w:lvlText w:val="-"/>
        <w:lvlJc w:val="left"/>
        <w:pPr>
          <w:ind w:left="1025" w:hanging="30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4">
      <w:lvl w:ilvl="4" w:tplc="EBEC7342">
        <w:start w:val="1"/>
        <w:numFmt w:val="bullet"/>
        <w:lvlText w:val="-"/>
        <w:lvlJc w:val="left"/>
        <w:pPr>
          <w:ind w:left="1265" w:hanging="30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5">
      <w:lvl w:ilvl="5" w:tplc="2B4C6B2C">
        <w:start w:val="1"/>
        <w:numFmt w:val="bullet"/>
        <w:lvlText w:val="-"/>
        <w:lvlJc w:val="left"/>
        <w:pPr>
          <w:ind w:left="1505" w:hanging="30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6">
      <w:lvl w:ilvl="6" w:tplc="FB7ECEAC">
        <w:start w:val="1"/>
        <w:numFmt w:val="bullet"/>
        <w:lvlText w:val="-"/>
        <w:lvlJc w:val="left"/>
        <w:pPr>
          <w:ind w:left="1745" w:hanging="30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7">
      <w:lvl w:ilvl="7" w:tplc="567437BC">
        <w:start w:val="1"/>
        <w:numFmt w:val="bullet"/>
        <w:lvlText w:val="-"/>
        <w:lvlJc w:val="left"/>
        <w:pPr>
          <w:ind w:left="1985" w:hanging="30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8">
      <w:lvl w:ilvl="8" w:tplc="77D81840">
        <w:start w:val="1"/>
        <w:numFmt w:val="bullet"/>
        <w:lvlText w:val="-"/>
        <w:lvlJc w:val="left"/>
        <w:pPr>
          <w:ind w:left="2225" w:hanging="30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</w:num>
  <w:num w:numId="9">
    <w:abstractNumId w:val="5"/>
    <w:lvlOverride w:ilvl="0">
      <w:lvl w:ilvl="0" w:tplc="C24219FA">
        <w:start w:val="1"/>
        <w:numFmt w:val="bullet"/>
        <w:lvlText w:val="-"/>
        <w:lvlJc w:val="left"/>
        <w:pPr>
          <w:ind w:left="39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43"/>
          <w:szCs w:val="43"/>
          <w:highlight w:val="none"/>
          <w:vertAlign w:val="baseline"/>
        </w:rPr>
      </w:lvl>
    </w:lvlOverride>
    <w:lvlOverride w:ilvl="1">
      <w:lvl w:ilvl="1" w:tplc="FF18C0AE">
        <w:start w:val="1"/>
        <w:numFmt w:val="bullet"/>
        <w:lvlText w:val="-"/>
        <w:lvlJc w:val="left"/>
        <w:pPr>
          <w:ind w:left="63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43"/>
          <w:szCs w:val="43"/>
          <w:highlight w:val="none"/>
          <w:vertAlign w:val="baseline"/>
        </w:rPr>
      </w:lvl>
    </w:lvlOverride>
    <w:lvlOverride w:ilvl="2">
      <w:lvl w:ilvl="2" w:tplc="59849EC2">
        <w:start w:val="1"/>
        <w:numFmt w:val="bullet"/>
        <w:lvlText w:val="-"/>
        <w:lvlJc w:val="left"/>
        <w:pPr>
          <w:ind w:left="87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43"/>
          <w:szCs w:val="43"/>
          <w:highlight w:val="none"/>
          <w:vertAlign w:val="baseline"/>
        </w:rPr>
      </w:lvl>
    </w:lvlOverride>
    <w:lvlOverride w:ilvl="3">
      <w:lvl w:ilvl="3" w:tplc="1586143E">
        <w:start w:val="1"/>
        <w:numFmt w:val="bullet"/>
        <w:lvlText w:val="-"/>
        <w:lvlJc w:val="left"/>
        <w:pPr>
          <w:ind w:left="111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43"/>
          <w:szCs w:val="43"/>
          <w:highlight w:val="none"/>
          <w:vertAlign w:val="baseline"/>
        </w:rPr>
      </w:lvl>
    </w:lvlOverride>
    <w:lvlOverride w:ilvl="4">
      <w:lvl w:ilvl="4" w:tplc="EBEC7342">
        <w:start w:val="1"/>
        <w:numFmt w:val="bullet"/>
        <w:lvlText w:val="-"/>
        <w:lvlJc w:val="left"/>
        <w:pPr>
          <w:ind w:left="135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43"/>
          <w:szCs w:val="43"/>
          <w:highlight w:val="none"/>
          <w:vertAlign w:val="baseline"/>
        </w:rPr>
      </w:lvl>
    </w:lvlOverride>
    <w:lvlOverride w:ilvl="5">
      <w:lvl w:ilvl="5" w:tplc="2B4C6B2C">
        <w:start w:val="1"/>
        <w:numFmt w:val="bullet"/>
        <w:lvlText w:val="-"/>
        <w:lvlJc w:val="left"/>
        <w:pPr>
          <w:ind w:left="159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43"/>
          <w:szCs w:val="43"/>
          <w:highlight w:val="none"/>
          <w:vertAlign w:val="baseline"/>
        </w:rPr>
      </w:lvl>
    </w:lvlOverride>
    <w:lvlOverride w:ilvl="6">
      <w:lvl w:ilvl="6" w:tplc="FB7ECEAC">
        <w:start w:val="1"/>
        <w:numFmt w:val="bullet"/>
        <w:lvlText w:val="-"/>
        <w:lvlJc w:val="left"/>
        <w:pPr>
          <w:ind w:left="183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43"/>
          <w:szCs w:val="43"/>
          <w:highlight w:val="none"/>
          <w:vertAlign w:val="baseline"/>
        </w:rPr>
      </w:lvl>
    </w:lvlOverride>
    <w:lvlOverride w:ilvl="7">
      <w:lvl w:ilvl="7" w:tplc="567437BC">
        <w:start w:val="1"/>
        <w:numFmt w:val="bullet"/>
        <w:lvlText w:val="-"/>
        <w:lvlJc w:val="left"/>
        <w:pPr>
          <w:ind w:left="207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43"/>
          <w:szCs w:val="43"/>
          <w:highlight w:val="none"/>
          <w:vertAlign w:val="baseline"/>
        </w:rPr>
      </w:lvl>
    </w:lvlOverride>
    <w:lvlOverride w:ilvl="8">
      <w:lvl w:ilvl="8" w:tplc="77D81840">
        <w:start w:val="1"/>
        <w:numFmt w:val="bullet"/>
        <w:lvlText w:val="-"/>
        <w:lvlJc w:val="left"/>
        <w:pPr>
          <w:ind w:left="231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43"/>
          <w:szCs w:val="43"/>
          <w:highlight w:val="none"/>
          <w:vertAlign w:val="baseline"/>
        </w:rPr>
      </w:lvl>
    </w:lvlOverride>
  </w:num>
  <w:num w:numId="10">
    <w:abstractNumId w:val="3"/>
  </w:num>
  <w:num w:numId="11">
    <w:abstractNumId w:val="2"/>
  </w:num>
  <w:num w:numId="12">
    <w:abstractNumId w:val="7"/>
  </w:num>
  <w:num w:numId="13">
    <w:abstractNumId w:val="9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isplayBackgroundShape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393"/>
    <w:rsid w:val="00000648"/>
    <w:rsid w:val="0000760A"/>
    <w:rsid w:val="000077D1"/>
    <w:rsid w:val="00045586"/>
    <w:rsid w:val="00061432"/>
    <w:rsid w:val="00070746"/>
    <w:rsid w:val="0007402A"/>
    <w:rsid w:val="0007447E"/>
    <w:rsid w:val="00085948"/>
    <w:rsid w:val="0009047E"/>
    <w:rsid w:val="000910E6"/>
    <w:rsid w:val="0009183F"/>
    <w:rsid w:val="000928E4"/>
    <w:rsid w:val="000A2B70"/>
    <w:rsid w:val="000B0F49"/>
    <w:rsid w:val="000B2CD0"/>
    <w:rsid w:val="000B5033"/>
    <w:rsid w:val="000D0466"/>
    <w:rsid w:val="000F1124"/>
    <w:rsid w:val="000F2C71"/>
    <w:rsid w:val="000F3B62"/>
    <w:rsid w:val="000F7D3D"/>
    <w:rsid w:val="00105DA7"/>
    <w:rsid w:val="00112C1E"/>
    <w:rsid w:val="001279A0"/>
    <w:rsid w:val="0013592C"/>
    <w:rsid w:val="00146D72"/>
    <w:rsid w:val="00164331"/>
    <w:rsid w:val="001E5325"/>
    <w:rsid w:val="00236EE0"/>
    <w:rsid w:val="002431AD"/>
    <w:rsid w:val="00263C81"/>
    <w:rsid w:val="00265730"/>
    <w:rsid w:val="002677D4"/>
    <w:rsid w:val="00270EEA"/>
    <w:rsid w:val="0027119E"/>
    <w:rsid w:val="00280C98"/>
    <w:rsid w:val="002878E5"/>
    <w:rsid w:val="002B2534"/>
    <w:rsid w:val="002E60C9"/>
    <w:rsid w:val="003037F8"/>
    <w:rsid w:val="00357693"/>
    <w:rsid w:val="00365269"/>
    <w:rsid w:val="00377585"/>
    <w:rsid w:val="003A76F2"/>
    <w:rsid w:val="003F715E"/>
    <w:rsid w:val="0043744D"/>
    <w:rsid w:val="00446D0D"/>
    <w:rsid w:val="00455C0B"/>
    <w:rsid w:val="00466254"/>
    <w:rsid w:val="004854CB"/>
    <w:rsid w:val="004A6FCC"/>
    <w:rsid w:val="004C35B9"/>
    <w:rsid w:val="0051629D"/>
    <w:rsid w:val="00532682"/>
    <w:rsid w:val="00537FCB"/>
    <w:rsid w:val="005775F2"/>
    <w:rsid w:val="005B03B9"/>
    <w:rsid w:val="005B067F"/>
    <w:rsid w:val="005F3F2C"/>
    <w:rsid w:val="00603165"/>
    <w:rsid w:val="00613A67"/>
    <w:rsid w:val="006312EB"/>
    <w:rsid w:val="0063421A"/>
    <w:rsid w:val="00654FBB"/>
    <w:rsid w:val="0066179B"/>
    <w:rsid w:val="006713CA"/>
    <w:rsid w:val="00697E44"/>
    <w:rsid w:val="006B6D2D"/>
    <w:rsid w:val="006C6915"/>
    <w:rsid w:val="006F6987"/>
    <w:rsid w:val="00763B62"/>
    <w:rsid w:val="007763A8"/>
    <w:rsid w:val="00790B7A"/>
    <w:rsid w:val="007975FE"/>
    <w:rsid w:val="007C5278"/>
    <w:rsid w:val="0083135D"/>
    <w:rsid w:val="008355AB"/>
    <w:rsid w:val="00854B55"/>
    <w:rsid w:val="00877F41"/>
    <w:rsid w:val="00892C03"/>
    <w:rsid w:val="00894112"/>
    <w:rsid w:val="008F098C"/>
    <w:rsid w:val="00917211"/>
    <w:rsid w:val="00932CA6"/>
    <w:rsid w:val="00954D90"/>
    <w:rsid w:val="009634CA"/>
    <w:rsid w:val="00977449"/>
    <w:rsid w:val="009839DF"/>
    <w:rsid w:val="00985BD4"/>
    <w:rsid w:val="009B679A"/>
    <w:rsid w:val="00A07F63"/>
    <w:rsid w:val="00A21B02"/>
    <w:rsid w:val="00A370E6"/>
    <w:rsid w:val="00A466F1"/>
    <w:rsid w:val="00A64F04"/>
    <w:rsid w:val="00A94375"/>
    <w:rsid w:val="00AC6688"/>
    <w:rsid w:val="00B23810"/>
    <w:rsid w:val="00B40EBB"/>
    <w:rsid w:val="00BD7E0C"/>
    <w:rsid w:val="00BF710E"/>
    <w:rsid w:val="00C17B1E"/>
    <w:rsid w:val="00C41365"/>
    <w:rsid w:val="00C55A9B"/>
    <w:rsid w:val="00C65E45"/>
    <w:rsid w:val="00C84270"/>
    <w:rsid w:val="00C9479A"/>
    <w:rsid w:val="00CD726F"/>
    <w:rsid w:val="00CF0E66"/>
    <w:rsid w:val="00CF5BF5"/>
    <w:rsid w:val="00D55393"/>
    <w:rsid w:val="00D628D0"/>
    <w:rsid w:val="00D8192A"/>
    <w:rsid w:val="00DB5D8B"/>
    <w:rsid w:val="00DE500D"/>
    <w:rsid w:val="00E233B1"/>
    <w:rsid w:val="00E27572"/>
    <w:rsid w:val="00E749D4"/>
    <w:rsid w:val="00EB775F"/>
    <w:rsid w:val="00EC29E2"/>
    <w:rsid w:val="00ED78F5"/>
    <w:rsid w:val="00EF0BD0"/>
    <w:rsid w:val="00EF56F2"/>
    <w:rsid w:val="00F10715"/>
    <w:rsid w:val="00F51F6A"/>
    <w:rsid w:val="00F53F30"/>
    <w:rsid w:val="00F951C7"/>
    <w:rsid w:val="00F9791A"/>
    <w:rsid w:val="00FB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F4DA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35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35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35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C35B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79B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Bullet">
    <w:name w:val="Bullet"/>
    <w:pPr>
      <w:numPr>
        <w:numId w:val="1"/>
      </w:numPr>
    </w:pPr>
  </w:style>
  <w:style w:type="numbering" w:customStyle="1" w:styleId="Dash">
    <w:name w:val="Dash"/>
    <w:pPr>
      <w:numPr>
        <w:numId w:val="4"/>
      </w:numPr>
    </w:p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</w:rPr>
  </w:style>
  <w:style w:type="table" w:styleId="TableGrid">
    <w:name w:val="Table Grid"/>
    <w:basedOn w:val="TableNormal"/>
    <w:uiPriority w:val="39"/>
    <w:rsid w:val="000455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7763A8"/>
  </w:style>
  <w:style w:type="paragraph" w:styleId="ListParagraph">
    <w:name w:val="List Paragraph"/>
    <w:basedOn w:val="Normal"/>
    <w:uiPriority w:val="34"/>
    <w:qFormat/>
    <w:rsid w:val="003F715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C35B9"/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C35B9"/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C35B9"/>
    <w:rPr>
      <w:rFonts w:asciiTheme="majorHAnsi" w:eastAsiaTheme="majorEastAsia" w:hAnsiTheme="majorHAnsi" w:cstheme="majorBidi"/>
      <w:color w:val="00507F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C35B9"/>
    <w:rPr>
      <w:rFonts w:asciiTheme="majorHAnsi" w:eastAsiaTheme="majorEastAsia" w:hAnsiTheme="majorHAnsi" w:cstheme="majorBidi"/>
      <w:i/>
      <w:iCs/>
      <w:color w:val="0079BF" w:themeColor="accent1" w:themeShade="BF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5D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DA7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05D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4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1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8169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9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7217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9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7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13</Pages>
  <Words>1885</Words>
  <Characters>10745</Characters>
  <Application>Microsoft Macintosh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Susan Stuart</cp:lastModifiedBy>
  <cp:revision>44</cp:revision>
  <dcterms:created xsi:type="dcterms:W3CDTF">2018-10-22T00:50:00Z</dcterms:created>
  <dcterms:modified xsi:type="dcterms:W3CDTF">2018-10-24T00:22:00Z</dcterms:modified>
</cp:coreProperties>
</file>